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0" w:name="_Hlk23501351"/>
      <w:bookmarkStart w:id="1" w:name="_Toc438987549"/>
      <w:bookmarkStart w:id="2" w:name="OLE_LINK13"/>
      <w:bookmarkStart w:id="3" w:name="_Toc481801204"/>
      <w:bookmarkStart w:id="4" w:name="_Toc415818939"/>
      <w:bookmarkStart w:id="5" w:name="OLE_LINK40"/>
      <w:bookmarkStart w:id="6" w:name="_Toc453597319"/>
      <w:bookmarkStart w:id="7" w:name="_Toc517262917"/>
      <w:bookmarkStart w:id="8" w:name="OLE_LINK15"/>
      <w:bookmarkStart w:id="9" w:name="_Toc418070112"/>
      <w:bookmarkStart w:id="10" w:name="_Toc415143481"/>
      <w:bookmarkStart w:id="11" w:name="_Toc415142861"/>
      <w:bookmarkStart w:id="12" w:name="OLE_LINK39"/>
      <w:bookmarkStart w:id="13" w:name="OLE_LINK24"/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szCs w:val="22"/>
                              </w:rPr>
                              <w:t xml:space="preserve">Copyright © QYResearch | market@qyresearch.com | </w:t>
                            </w:r>
                            <w:r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www.qyresearch.com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b/>
                          <w:szCs w:val="22"/>
                        </w:rPr>
                        <w:t xml:space="preserve">Copyright © QYResearch | market@qyresearch.com | </w:t>
                      </w:r>
                      <w:r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www.qyresearch.com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  <w:t>微晶纤维素MCC</w:t>
                            </w: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  <w:t>微晶纤维素MCC</w:t>
                      </w: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85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  <w:rPr>
          <w:lang w:eastAsia="zh-CN"/>
        </w:rPr>
      </w:pPr>
      <w:r>
        <w:rPr>
          <w:rFonts w:hint="eastAsia"/>
          <w:lang w:eastAsia="zh-CN"/>
        </w:rPr>
        <w:t>微晶纤维素MCC全球市场总体规模</w:t>
      </w:r>
    </w:p>
    <w:p>
      <w:pPr>
        <w:pStyle w:val="145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定义：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微晶纤维素 (MCC) 是一种加工形式的纤维素，源自天然植物纤维。 它作为赋形剂广泛应用于制药、食品和化妆品行业。 MCC 是通过用酸处理纤维素，然后对其进行机械加工，产生具有晶体结构的细颗粒而生产的。</w:t>
      </w:r>
    </w:p>
    <w:p>
      <w:pPr>
        <w:pStyle w:val="145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产品图片：</w:t>
      </w:r>
    </w:p>
    <w:p>
      <w:pPr>
        <w:pStyle w:val="145"/>
        <w:rPr>
          <w:b/>
          <w:bCs/>
          <w:lang w:eastAsia="zh-CN"/>
        </w:rPr>
      </w:pPr>
      <w:r>
        <w:drawing>
          <wp:inline distT="0" distB="0" distL="0" distR="0">
            <wp:extent cx="2442845" cy="1625600"/>
            <wp:effectExtent l="0" t="0" r="14605" b="12700"/>
            <wp:docPr id="1587919443" name="图片 4" descr="Microcrystalline Cellulose (MCC) | SIDLEY CHEMICAL | Ingredients Netwo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919443" name="图片 4" descr="Microcrystalline Cellulose (MCC) | SIDLEY CHEMICAL | Ingredients Netwo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51438" cy="163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5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主要驱动因素</w:t>
      </w:r>
      <w:r>
        <w:rPr>
          <w:b/>
          <w:bCs/>
          <w:lang w:eastAsia="zh-CN"/>
        </w:rPr>
        <w:t>:</w:t>
      </w:r>
    </w:p>
    <w:p>
      <w:pPr>
        <w:widowControl/>
        <w:topLinePunct w:val="0"/>
        <w:spacing w:after="0"/>
        <w:jc w:val="left"/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微晶纤维素 (MCC) 市场由多种因素驱动，包括：</w:t>
      </w:r>
    </w:p>
    <w:p>
      <w:pPr>
        <w:widowControl/>
        <w:topLinePunct w:val="0"/>
        <w:spacing w:after="0"/>
        <w:jc w:val="left"/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1. 不断发展的制药行业：微晶纤维素因其功能特性而被广泛用作制药行业的赋形剂。 随着全球对医药产品的需求不断增加，片剂配方中对 MCC 作为粘合剂、崩解剂、填充剂和稀释剂的需求预计将会增加。</w:t>
      </w:r>
    </w:p>
    <w:p>
      <w:pPr>
        <w:widowControl/>
        <w:topLinePunct w:val="0"/>
        <w:spacing w:after="0"/>
        <w:jc w:val="left"/>
        <w:rPr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widowControl/>
        <w:topLinePunct w:val="0"/>
        <w:spacing w:after="0"/>
        <w:jc w:val="left"/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2.健康意识不断增强：消费者越来越意识到保持健康生活方式的重要性，其中包括消费功能性食品和膳食补充剂。 MCC 在这些产品中通常用作填充剂、稳定剂和乳化剂。 随着对功能性食品和补充剂的需求增加，对 MCC 的需求也在增加。</w:t>
      </w:r>
    </w:p>
    <w:p>
      <w:pPr>
        <w:widowControl/>
        <w:topLinePunct w:val="0"/>
        <w:spacing w:after="0"/>
        <w:jc w:val="left"/>
        <w:rPr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widowControl/>
        <w:topLinePunct w:val="0"/>
        <w:spacing w:after="0"/>
        <w:jc w:val="left"/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3. 药物输送系统的进步：新型药物输送系统（例如控释制剂）的开发需要使用 MCC 等赋形剂。 MCC 能够在特定时期内控制活性成分的释放，使其成为这些系统中的重要组成部分，从而推动其市场增长。</w:t>
      </w:r>
    </w:p>
    <w:p>
      <w:pPr>
        <w:widowControl/>
        <w:topLinePunct w:val="0"/>
        <w:spacing w:after="0"/>
        <w:jc w:val="left"/>
        <w:rPr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widowControl/>
        <w:topLinePunct w:val="0"/>
        <w:spacing w:after="0"/>
        <w:jc w:val="left"/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4. 日益关注质量和稳定性：MCC 具有出色的稳定性，有助于保持药物配方的完整性，并确保产品的质量和功效。 随着制药行业努力提高产品质量和延长保质期，对 MCC 作为稳定性增强辅料的需求不断增加。</w:t>
      </w:r>
    </w:p>
    <w:p>
      <w:pPr>
        <w:widowControl/>
        <w:topLinePunct w:val="0"/>
        <w:spacing w:after="0"/>
        <w:jc w:val="left"/>
        <w:rPr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widowControl/>
        <w:topLinePunct w:val="0"/>
        <w:spacing w:after="0"/>
        <w:jc w:val="left"/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5. 监管合规性：MCC获得美国FDA和欧洲药品管理局等监管机构的批准，使其成为制药和其他受监管行业的首选。 遵守监管标准并确保产品安全性和有效性的需求推动了对 MCC 的需求。</w:t>
      </w:r>
    </w:p>
    <w:p>
      <w:pPr>
        <w:widowControl/>
        <w:topLinePunct w:val="0"/>
        <w:spacing w:after="0"/>
        <w:jc w:val="left"/>
        <w:rPr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widowControl/>
        <w:topLinePunct w:val="0"/>
        <w:spacing w:after="0"/>
        <w:jc w:val="left"/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6. 制造工艺的技术进步：MCC 制造工艺的持续发展，例如改进的精炼技术和粒度控制，带来了更高质量的产品和增强的功能。 这些进步通过扩展其应用并提高其性能，推动了 MCC 市场的发展。</w:t>
      </w:r>
    </w:p>
    <w:p>
      <w:pPr>
        <w:widowControl/>
        <w:topLinePunct w:val="0"/>
        <w:spacing w:after="0"/>
        <w:jc w:val="left"/>
        <w:rPr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widowControl/>
        <w:topLinePunct w:val="0"/>
        <w:spacing w:after="0"/>
        <w:jc w:val="left"/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7.个人护理产品需求不断增长：MCC在化妆品和个人护理行业中用作粘度调节剂、乳液稳定剂和质地增强剂。 随着人们对个人美容、护肤和美容产品的日益关注，该领域对 MCC 的需求预计将增长。</w:t>
      </w:r>
    </w:p>
    <w:p>
      <w:pPr>
        <w:widowControl/>
        <w:topLinePunct w:val="0"/>
        <w:spacing w:after="0"/>
        <w:jc w:val="left"/>
        <w:rPr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widowControl/>
        <w:topLinePunct w:val="0"/>
        <w:spacing w:after="0"/>
        <w:jc w:val="left"/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8. 可持续和可再生性质：微晶纤维素源自植物纤维，使其成为可持续和可再生的辅料选择。 随着人们对环境问题的日益关注，MCC 的使用符合环保和生物基成分的趋势。</w:t>
      </w:r>
    </w:p>
    <w:p>
      <w:pPr>
        <w:widowControl/>
        <w:topLinePunct w:val="0"/>
        <w:spacing w:after="0"/>
        <w:jc w:val="left"/>
        <w:rPr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widowControl/>
        <w:topLinePunct w:val="0"/>
        <w:spacing w:after="0"/>
        <w:jc w:val="left"/>
        <w:rPr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这些驱动因素促进了 MCC 市场的稳定增长，因为它们创造了各个行业对其多功能应用和功能特性的需求。</w:t>
      </w:r>
      <w:r>
        <w:br w:type="page"/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全球微晶纤维素MCC市场总体规模（百万美元）&amp;（</w:t>
      </w:r>
      <w:r>
        <w:rPr>
          <w:lang w:eastAsia="zh-CN"/>
        </w:rPr>
        <w:t>2018-2029</w:t>
      </w:r>
      <w:r>
        <w:rPr>
          <w:rFonts w:hint="eastAsia"/>
          <w:lang w:eastAsia="zh-CN"/>
        </w:rPr>
        <w:t>）</w:t>
      </w:r>
    </w:p>
    <w:p>
      <w:pPr>
        <w:pStyle w:val="145"/>
        <w:jc w:val="center"/>
      </w:pPr>
      <w:r>
        <w:drawing>
          <wp:inline distT="0" distB="0" distL="0" distR="0">
            <wp:extent cx="6188710" cy="2846705"/>
            <wp:effectExtent l="0" t="0" r="2540" b="10795"/>
            <wp:docPr id="1828114369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bookmarkStart w:id="14" w:name="_GoBack"/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如上图表/数据，摘自QYResearch最新报告“全球微晶纤维素MCC市场研究报告2023-2029</w:t>
      </w:r>
      <w:r>
        <w:rPr>
          <w:lang w:eastAsia="zh-CN"/>
        </w:rPr>
        <w:t>.</w:t>
      </w:r>
    </w:p>
    <w:p>
      <w:pPr>
        <w:pStyle w:val="145"/>
        <w:rPr>
          <w:lang w:val="en-US" w:eastAsia="zh-CN"/>
        </w:rPr>
      </w:pPr>
      <w:r>
        <w:rPr>
          <w:rFonts w:hint="eastAsia"/>
          <w:lang w:eastAsia="zh-CN"/>
        </w:rPr>
        <w:t>根据QYResearch最新调研报告显示，2</w:t>
      </w:r>
      <w:r>
        <w:rPr>
          <w:lang w:eastAsia="zh-CN"/>
        </w:rPr>
        <w:t>023</w:t>
      </w:r>
      <w:r>
        <w:rPr>
          <w:rFonts w:hint="eastAsia"/>
          <w:lang w:eastAsia="zh-CN"/>
        </w:rPr>
        <w:t>年全球微晶纤维素MCC市场规模大约为540.5 百万美元，预计2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年将达到1,109.2 百万美元，未来几年年复合增长率CAGR为12.7%</w:t>
      </w:r>
      <w:r>
        <w:rPr>
          <w:rFonts w:hint="eastAsia"/>
          <w:lang w:val="en-US" w:eastAsia="zh-CN"/>
        </w:rPr>
        <w:t>.</w:t>
      </w:r>
    </w:p>
    <w:p>
      <w:pPr>
        <w:pStyle w:val="143"/>
        <w:rPr>
          <w:rFonts w:hint="eastAsia"/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全球微晶纤维素MCC主要厂商排名</w:t>
      </w:r>
    </w:p>
    <w:p>
      <w:pPr>
        <w:pStyle w:val="145"/>
        <w:tabs>
          <w:tab w:val="left" w:pos="1434"/>
          <w:tab w:val="center" w:pos="4933"/>
        </w:tabs>
        <w:jc w:val="center"/>
      </w:pPr>
      <w:r>
        <w:drawing>
          <wp:inline distT="0" distB="0" distL="0" distR="0">
            <wp:extent cx="6134100" cy="2889250"/>
            <wp:effectExtent l="0" t="0" r="0" b="6350"/>
            <wp:docPr id="15901738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173802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2889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如上图表/数据，摘自QYResearch最新报告“全球微晶纤维素MCC市场研究报告2023-2029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rFonts w:hint="eastAsia"/>
          <w:lang w:val="en-US" w:eastAsia="zh-CN"/>
        </w:rPr>
        <w:t>在2023年，</w:t>
      </w:r>
      <w:r>
        <w:rPr>
          <w:rFonts w:hint="eastAsia"/>
          <w:lang w:eastAsia="zh-CN"/>
        </w:rPr>
        <w:t>微晶纤维素MCC前五大厂商占有大约</w:t>
      </w:r>
      <w:r>
        <w:rPr>
          <w:rFonts w:hint="eastAsia"/>
          <w:lang w:val="en-US" w:eastAsia="zh-CN"/>
        </w:rPr>
        <w:t>60.6%</w:t>
      </w:r>
      <w:r>
        <w:rPr>
          <w:rFonts w:hint="eastAsia"/>
          <w:lang w:eastAsia="zh-CN"/>
        </w:rPr>
        <w:t>的市场份额。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全球微晶纤维素MCC市场规模，按产品类型细分</w:t>
      </w:r>
    </w:p>
    <w:p>
      <w:pPr>
        <w:pStyle w:val="145"/>
      </w:pPr>
      <w:r>
        <w:drawing>
          <wp:inline distT="0" distB="0" distL="0" distR="0">
            <wp:extent cx="5918200" cy="2806700"/>
            <wp:effectExtent l="0" t="0" r="6350" b="0"/>
            <wp:docPr id="93668856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6688564" name="图片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18200" cy="280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bookmarkEnd w:id="14"/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如上图表/数据，摘自QYResearch最新报告“全球微晶纤维素MCC市场研究报告2023-2029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就产品类型而言，目前制药级微晶纤维素是最主要的细分产品，占据大约58.0%的份额。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全球微晶纤维素MCC市场规模，按应用细分</w:t>
      </w:r>
    </w:p>
    <w:p>
      <w:pPr>
        <w:pStyle w:val="145"/>
        <w:jc w:val="center"/>
      </w:pPr>
      <w:r>
        <w:drawing>
          <wp:inline distT="0" distB="0" distL="0" distR="0">
            <wp:extent cx="5930900" cy="2851150"/>
            <wp:effectExtent l="0" t="0" r="0" b="6350"/>
            <wp:docPr id="63511013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110131" name="图片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30900" cy="285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如上图表/数据，摘自QYResearch最新报告“全球微晶纤维素MCC市场研究报告2023-2029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就产品类型而言，目前缓释制剂是最主要的需求来源，占据大约33.4%的份额。</w:t>
      </w: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3120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TA5ZDQ3NWE4ZjMxYjI3YzM5ZGFlMGQxODk1NDA3MmIifQ=="/>
  </w:docVars>
  <w:rsids>
    <w:rsidRoot w:val="00D33EE2"/>
    <w:rsid w:val="000002E5"/>
    <w:rsid w:val="0000037A"/>
    <w:rsid w:val="0000040F"/>
    <w:rsid w:val="0000064D"/>
    <w:rsid w:val="00000877"/>
    <w:rsid w:val="00000A89"/>
    <w:rsid w:val="00000CBB"/>
    <w:rsid w:val="00001917"/>
    <w:rsid w:val="00001B99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2A1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5D3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6AE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031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A79EA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447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A30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207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959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0BB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7B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A1F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05B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B06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2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661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0D43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08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7B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1B4C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7D1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99E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661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4EAE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D3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74F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952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1D9C7EF3"/>
    <w:rsid w:val="580E4991"/>
    <w:rsid w:val="58B17B42"/>
    <w:rsid w:val="68722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next w:val="1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标题1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40" w:after="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imes New Roman" w:hAnsi="Times New Roman" w:eastAsia="宋体"/>
      <w:color w:val="0D0D0D" w:themeColor="text1" w:themeTint="F2"/>
      <w:kern w:val="0"/>
      <w:sz w:val="22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清单表 2 - 着色 41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清单表 1 浅色 - 着色 1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清单表 2 - 着色 21"/>
    <w:basedOn w:val="34"/>
    <w:qFormat/>
    <w:uiPriority w:val="47"/>
    <w:rPr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sz w:val="22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网格表 21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网格表 2 - 着色 41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网格表 2 - 着色 51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清单表 2 - 着色 51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清单表 1 浅色 - 着色 51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sz w:val="21"/>
      <w:szCs w:val="22"/>
      <w:lang w:val="en-IN" w:eastAsia="en-US" w:bidi="ar-SA"/>
    </w:rPr>
  </w:style>
  <w:style w:type="character" w:customStyle="1" w:styleId="204">
    <w:name w:val="未处理的提及6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Think\Desktop\&#24494;&#26230;&#32420;&#32500;&#32032;MCC\&#24494;&#26230;&#32420;&#32500;&#32032;MCC&#23459;&#20256;&#29992;&#27169;&#26495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/>
              <a:t>Global Market Size ($ Mn)</a:t>
            </a:r>
            <a:endParaRPr lang="zh-CN" altLang="en-US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809019607843137"/>
          <c:y val="0.186057291666667"/>
          <c:w val="0.912872549019608"/>
          <c:h val="0.725520486111111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1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'[微晶纤维素MCC宣传用模板.xlsx]英文 (2)'!$C$1:$D$1</c:f>
              <c:numCache>
                <c:formatCode>General</c:formatCode>
                <c:ptCount val="2"/>
                <c:pt idx="0">
                  <c:v>2023</c:v>
                </c:pt>
                <c:pt idx="1">
                  <c:v>2029</c:v>
                </c:pt>
              </c:numCache>
            </c:numRef>
          </c:cat>
          <c:val>
            <c:numRef>
              <c:f>'[微晶纤维素MCC宣传用模板.xlsx]英文 (2)'!$C$2:$D$2</c:f>
              <c:numCache>
                <c:formatCode>#,##0.0_ </c:formatCode>
                <c:ptCount val="2"/>
                <c:pt idx="0">
                  <c:v>540.48</c:v>
                </c:pt>
                <c:pt idx="1">
                  <c:v>1109.2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00"/>
        <c:axId val="1226130831"/>
        <c:axId val="1211247055"/>
      </c:barChart>
      <c:catAx>
        <c:axId val="122613083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211247055"/>
        <c:crosses val="autoZero"/>
        <c:auto val="1"/>
        <c:lblAlgn val="ctr"/>
        <c:lblOffset val="100"/>
        <c:noMultiLvlLbl val="0"/>
      </c:catAx>
      <c:valAx>
        <c:axId val="1211247055"/>
        <c:scaling>
          <c:orientation val="minMax"/>
        </c:scaling>
        <c:delete val="0"/>
        <c:axPos val="l"/>
        <c:numFmt formatCode="#,##0.0_ 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22613083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0.43156</cdr:x>
      <cdr:y>0.24655</cdr:y>
    </cdr:from>
    <cdr:to>
      <cdr:x>0.65889</cdr:x>
      <cdr:y>0.78268</cdr:y>
    </cdr:to>
    <cdr:grpSp>
      <cdr:nvGrpSpPr>
        <cdr:cNvPr id="2" name="组合 1"/>
        <cdr:cNvGrpSpPr/>
      </cdr:nvGrpSpPr>
      <cdr:grpSpPr xmlns:a="http://schemas.openxmlformats.org/drawingml/2006/main">
        <a:xfrm rot="1128577">
          <a:off x="2670800" y="701855"/>
          <a:ext cx="1406879" cy="1526204"/>
          <a:chOff x="31187" y="-10446"/>
          <a:chExt cx="862663" cy="1838471"/>
        </a:xfrm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flipV="1">
            <a:off x="31187" y="-10446"/>
            <a:ext cx="862663" cy="1838471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18506016">
            <a:off x="-193825" y="714818"/>
            <a:ext cx="1317483" cy="442583"/>
          </a:xfrm>
          <a:prstGeom xmlns:a="http://schemas.openxmlformats.org/drawingml/2006/main" prst="ellipse">
            <a:avLst/>
          </a:prstGeom>
          <a:solidFill>
            <a:srgbClr val="FF0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="horz" wrap="none" lIns="45720" tIns="45720" rIns="45720" bIns="45720" anchor="ctr" anchorCtr="0">
            <a:normAutofit/>
          </a:bodyPr>
          <a:lstStyle>
            <a:lvl1pPr marL="0" indent="0">
              <a:defRPr sz="1100">
                <a:solidFill>
                  <a:schemeClr val="lt1"/>
                </a:solidFill>
                <a:latin typeface="+mn-lt"/>
                <a:ea typeface="+mn-ea"/>
                <a:cs typeface="+mn-cs"/>
              </a:defRPr>
            </a:lvl1pPr>
            <a:lvl2pPr marL="457200" indent="0">
              <a:defRPr sz="1100">
                <a:solidFill>
                  <a:schemeClr val="lt1"/>
                </a:solidFill>
                <a:latin typeface="+mn-lt"/>
                <a:ea typeface="+mn-ea"/>
                <a:cs typeface="+mn-cs"/>
              </a:defRPr>
            </a:lvl2pPr>
            <a:lvl3pPr marL="914400" indent="0">
              <a:defRPr sz="1100">
                <a:solidFill>
                  <a:schemeClr val="lt1"/>
                </a:solidFill>
                <a:latin typeface="+mn-lt"/>
                <a:ea typeface="+mn-ea"/>
                <a:cs typeface="+mn-cs"/>
              </a:defRPr>
            </a:lvl3pPr>
            <a:lvl4pPr marL="1371600" indent="0">
              <a:defRPr sz="1100">
                <a:solidFill>
                  <a:schemeClr val="lt1"/>
                </a:solidFill>
                <a:latin typeface="+mn-lt"/>
                <a:ea typeface="+mn-ea"/>
                <a:cs typeface="+mn-cs"/>
              </a:defRPr>
            </a:lvl4pPr>
            <a:lvl5pPr marL="1828800" indent="0">
              <a:defRPr sz="1100">
                <a:solidFill>
                  <a:schemeClr val="lt1"/>
                </a:solidFill>
                <a:latin typeface="+mn-lt"/>
                <a:ea typeface="+mn-ea"/>
                <a:cs typeface="+mn-cs"/>
              </a:defRPr>
            </a:lvl5pPr>
            <a:lvl6pPr marL="2286000" indent="0">
              <a:defRPr sz="1100">
                <a:solidFill>
                  <a:schemeClr val="lt1"/>
                </a:solidFill>
                <a:latin typeface="+mn-lt"/>
                <a:ea typeface="+mn-ea"/>
                <a:cs typeface="+mn-cs"/>
              </a:defRPr>
            </a:lvl6pPr>
            <a:lvl7pPr marL="2743200" indent="0">
              <a:defRPr sz="1100">
                <a:solidFill>
                  <a:schemeClr val="lt1"/>
                </a:solidFill>
                <a:latin typeface="+mn-lt"/>
                <a:ea typeface="+mn-ea"/>
                <a:cs typeface="+mn-cs"/>
              </a:defRPr>
            </a:lvl7pPr>
            <a:lvl8pPr marL="3200400" indent="0">
              <a:defRPr sz="1100">
                <a:solidFill>
                  <a:schemeClr val="lt1"/>
                </a:solidFill>
                <a:latin typeface="+mn-lt"/>
                <a:ea typeface="+mn-ea"/>
                <a:cs typeface="+mn-cs"/>
              </a:defRPr>
            </a:lvl8pPr>
            <a:lvl9pPr marL="3657600" indent="0">
              <a:defRPr sz="1100">
                <a:solidFill>
                  <a:schemeClr val="lt1"/>
                </a:solidFill>
                <a:latin typeface="+mn-lt"/>
                <a:ea typeface="+mn-ea"/>
                <a:cs typeface="+mn-cs"/>
              </a:defRPr>
            </a:lvl9pPr>
          </a:lstStyle>
          <a:p>
            <a:pPr algn="ctr"/>
            <a:r>
              <a:rPr lang="en-US" altLang="zh-CN" baseline="0">
                <a:latin typeface="Book Antiqua" panose="02040602050305030304" pitchFamily="1" charset="0"/>
                <a:ea typeface="宋体" panose="02010600030101010101" charset="-122"/>
              </a:rPr>
              <a:t>12.7%</a:t>
            </a:r>
            <a:endParaRPr lang="zh-CN" altLang="en-US" baseline="0"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2"/>
    <customShpInfo spid="_x0000_s1031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323</Words>
  <Characters>1844</Characters>
  <Lines>15</Lines>
  <Paragraphs>4</Paragraphs>
  <TotalTime>9</TotalTime>
  <ScaleCrop>false</ScaleCrop>
  <LinksUpToDate>false</LinksUpToDate>
  <CharactersWithSpaces>2163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2023-10-30T06:36:00Z</dcterms:created>
  <dc:creator>yangj</dc:creator>
  <cp:lastModifiedBy>Administrator</cp:lastModifiedBy>
  <dcterms:modified xsi:type="dcterms:W3CDTF">2023-12-12T08:09:06Z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B7DAD1311BEE4B1495225D5C41487C46_13</vt:lpwstr>
  </property>
</Properties>
</file>