
<file path=[Content_Types].xml><?xml version="1.0" encoding="utf-8"?>
<Types xmlns="http://schemas.openxmlformats.org/package/2006/content-types">
  <Default Extension="xml" ContentType="application/xml"/>
  <Default Extension="png" ContentType="image/png"/>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eastAsia"/>
        </w:rPr>
        <w:sectPr>
          <w:headerReference r:id="rId5" w:type="first"/>
          <w:footerReference r:id="rId8" w:type="first"/>
          <w:headerReference r:id="rId3" w:type="default"/>
          <w:footerReference r:id="rId6" w:type="default"/>
          <w:headerReference r:id="rId4" w:type="even"/>
          <w:footerReference r:id="rId7" w:type="even"/>
          <w:pgSz w:w="11906" w:h="16838"/>
          <w:pgMar w:top="1440" w:right="1800" w:bottom="1440" w:left="1800" w:header="851" w:footer="992" w:gutter="0"/>
          <w:cols w:space="425" w:num="1"/>
          <w:titlePg/>
          <w:docGrid w:type="lines" w:linePitch="312" w:charSpace="0"/>
        </w:sectPr>
      </w:pPr>
      <w:r>
        <w:drawing>
          <wp:anchor distT="0" distB="0" distL="114300" distR="114300" simplePos="0" relativeHeight="251662336" behindDoc="1" locked="0" layoutInCell="1" allowOverlap="1">
            <wp:simplePos x="0" y="0"/>
            <wp:positionH relativeFrom="column">
              <wp:posOffset>-1264285</wp:posOffset>
            </wp:positionH>
            <wp:positionV relativeFrom="paragraph">
              <wp:posOffset>-1061085</wp:posOffset>
            </wp:positionV>
            <wp:extent cx="7702550" cy="10934700"/>
            <wp:effectExtent l="0" t="0" r="12700" b="0"/>
            <wp:wrapNone/>
            <wp:docPr id="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1"/>
                    <pic:cNvPicPr>
                      <a:picLocks noChangeAspect="1"/>
                    </pic:cNvPicPr>
                  </pic:nvPicPr>
                  <pic:blipFill>
                    <a:blip r:embed="rId10"/>
                    <a:stretch>
                      <a:fillRect/>
                    </a:stretch>
                  </pic:blipFill>
                  <pic:spPr>
                    <a:xfrm>
                      <a:off x="0" y="0"/>
                      <a:ext cx="7702550" cy="10934700"/>
                    </a:xfrm>
                    <a:prstGeom prst="rect">
                      <a:avLst/>
                    </a:prstGeom>
                    <a:noFill/>
                    <a:ln>
                      <a:noFill/>
                    </a:ln>
                  </pic:spPr>
                </pic:pic>
              </a:graphicData>
            </a:graphic>
          </wp:anchor>
        </w:drawing>
      </w:r>
      <w:bookmarkStart w:id="33" w:name="_GoBack"/>
      <w:bookmarkEnd w:id="33"/>
      <w:r>
        <w:rPr>
          <w:sz w:val="21"/>
        </w:rPr>
        <mc:AlternateContent>
          <mc:Choice Requires="wps">
            <w:drawing>
              <wp:anchor distT="0" distB="0" distL="114300" distR="114300" simplePos="0" relativeHeight="251660288" behindDoc="0" locked="0" layoutInCell="1" allowOverlap="1">
                <wp:simplePos x="0" y="0"/>
                <wp:positionH relativeFrom="column">
                  <wp:posOffset>-1224280</wp:posOffset>
                </wp:positionH>
                <wp:positionV relativeFrom="paragraph">
                  <wp:posOffset>1988820</wp:posOffset>
                </wp:positionV>
                <wp:extent cx="7679055" cy="23622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7679055" cy="23622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jc w:val="center"/>
                              <w:rPr>
                                <w:rFonts w:hint="eastAsia"/>
                                <w:b/>
                                <w:bCs w:val="0"/>
                                <w:color w:val="000000" w:themeColor="text1"/>
                                <w:sz w:val="84"/>
                                <w:szCs w:val="84"/>
                                <w:lang w:val="en-US" w:eastAsia="zh-CN"/>
                                <w14:glow w14:rad="0">
                                  <w14:srgbClr w14:val="000000"/>
                                </w14:glow>
                                <w14:shadow w14:blurRad="38100" w14:dist="19050" w14:dir="2700000" w14:sx="100000" w14:sy="100000" w14:kx="0" w14:ky="0" w14:algn="tl">
                                  <w14:schemeClr w14:val="dk1">
                                    <w14:alpha w14:val="60000"/>
                                  </w14:schemeClr>
                                </w14:shadow>
                                <w14:reflection w14:blurRad="0" w14:stA="0" w14:stPos="0" w14:endA="0" w14:endPos="0" w14:dist="0" w14:dir="0" w14:fadeDir="0" w14:sx="0" w14:sy="0" w14:kx="0" w14:ky="0" w14:algn="none"/>
                                <w14:textFill>
                                  <w14:solidFill>
                                    <w14:schemeClr w14:val="tx1"/>
                                  </w14:solidFill>
                                </w14:textFill>
                                <w14:props3d w14:extrusionH="0" w14:contourW="0" w14:prstMaterial="clear"/>
                              </w:rPr>
                            </w:pPr>
                            <w:r>
                              <w:rPr>
                                <w:rFonts w:hint="eastAsia"/>
                                <w:b/>
                                <w:bCs w:val="0"/>
                                <w:color w:val="000000" w:themeColor="text1"/>
                                <w:sz w:val="84"/>
                                <w:szCs w:val="84"/>
                                <w:lang w:val="en-US" w:eastAsia="zh-CN"/>
                                <w14:glow w14:rad="0">
                                  <w14:srgbClr w14:val="000000"/>
                                </w14:glow>
                                <w14:shadow w14:blurRad="38100" w14:dist="19050" w14:dir="2700000" w14:sx="100000" w14:sy="100000" w14:kx="0" w14:ky="0" w14:algn="tl">
                                  <w14:schemeClr w14:val="dk1">
                                    <w14:alpha w14:val="60000"/>
                                  </w14:schemeClr>
                                </w14:shadow>
                                <w14:reflection w14:blurRad="0" w14:stA="0" w14:stPos="0" w14:endA="0" w14:endPos="0" w14:dist="0" w14:dir="0" w14:fadeDir="0" w14:sx="0" w14:sy="0" w14:kx="0" w14:ky="0" w14:algn="none"/>
                                <w14:textFill>
                                  <w14:solidFill>
                                    <w14:schemeClr w14:val="tx1"/>
                                  </w14:solidFill>
                                </w14:textFill>
                                <w14:props3d w14:extrusionH="0" w14:contourW="0" w14:prstMaterial="clear"/>
                              </w:rPr>
                              <w:t>2023年全球及中国氧化锌避雷器测试仪行业头部企业市场占有率及排名调研报告</w:t>
                            </w:r>
                          </w:p>
                          <w:p>
                            <w:pPr>
                              <w:rPr>
                                <w:rFonts w:hint="eastAsia"/>
                                <w:b/>
                                <w:bCs w:val="0"/>
                                <w:color w:val="000000" w:themeColor="text1"/>
                                <w:sz w:val="84"/>
                                <w:szCs w:val="84"/>
                                <w:lang w:val="en-US" w:eastAsia="zh-CN"/>
                                <w14:glow w14:rad="0">
                                  <w14:srgbClr w14:val="000000"/>
                                </w14:glow>
                                <w14:shadow w14:blurRad="38100" w14:dist="19050" w14:dir="2700000" w14:sx="100000" w14:sy="100000" w14:kx="0" w14:ky="0" w14:algn="tl">
                                  <w14:schemeClr w14:val="dk1">
                                    <w14:alpha w14:val="60000"/>
                                  </w14:schemeClr>
                                </w14:shadow>
                                <w14:reflection w14:blurRad="0" w14:stA="0" w14:stPos="0" w14:endA="0" w14:endPos="0" w14:dist="0" w14:dir="0" w14:fadeDir="0" w14:sx="0" w14:sy="0" w14:kx="0" w14:ky="0" w14:algn="none"/>
                                <w14:textFill>
                                  <w14:solidFill>
                                    <w14:schemeClr w14:val="tx1"/>
                                  </w14:solidFill>
                                </w14:textFill>
                                <w14:props3d w14:extrusionH="0" w14:contourW="0" w14:prstMaterial="clear"/>
                              </w:rPr>
                            </w:pP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96.4pt;margin-top:156.6pt;height:186pt;width:604.65pt;z-index:251660288;mso-width-relative:page;mso-height-relative:page;" filled="f" stroked="f" coordsize="21600,21600" o:gfxdata="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">
                <v:fill on="f" focussize="0,0"/>
                <v:stroke on="f" weight="0.5pt"/>
                <v:imagedata o:title=""/>
                <o:lock v:ext="edit" aspectratio="f"/>
                <v:textbox>
                  <w:txbxContent>
                    <w:p>
                      <w:pPr>
                        <w:jc w:val="center"/>
                        <w:rPr>
                          <w:rFonts w:hint="eastAsia"/>
                          <w:b/>
                          <w:bCs w:val="0"/>
                          <w:color w:val="000000" w:themeColor="text1"/>
                          <w:sz w:val="84"/>
                          <w:szCs w:val="84"/>
                          <w:lang w:val="en-US" w:eastAsia="zh-CN"/>
                          <w14:glow w14:rad="0">
                            <w14:srgbClr w14:val="000000"/>
                          </w14:glow>
                          <w14:shadow w14:blurRad="38100" w14:dist="19050" w14:dir="2700000" w14:sx="100000" w14:sy="100000" w14:kx="0" w14:ky="0" w14:algn="tl">
                            <w14:schemeClr w14:val="dk1">
                              <w14:alpha w14:val="60000"/>
                            </w14:schemeClr>
                          </w14:shadow>
                          <w14:reflection w14:blurRad="0" w14:stA="0" w14:stPos="0" w14:endA="0" w14:endPos="0" w14:dist="0" w14:dir="0" w14:fadeDir="0" w14:sx="0" w14:sy="0" w14:kx="0" w14:ky="0" w14:algn="none"/>
                          <w14:textFill>
                            <w14:solidFill>
                              <w14:schemeClr w14:val="tx1"/>
                            </w14:solidFill>
                          </w14:textFill>
                          <w14:props3d w14:extrusionH="0" w14:contourW="0" w14:prstMaterial="clear"/>
                        </w:rPr>
                      </w:pPr>
                      <w:r>
                        <w:rPr>
                          <w:rFonts w:hint="eastAsia"/>
                          <w:b/>
                          <w:bCs w:val="0"/>
                          <w:color w:val="000000" w:themeColor="text1"/>
                          <w:sz w:val="84"/>
                          <w:szCs w:val="84"/>
                          <w:lang w:val="en-US" w:eastAsia="zh-CN"/>
                          <w14:glow w14:rad="0">
                            <w14:srgbClr w14:val="000000"/>
                          </w14:glow>
                          <w14:shadow w14:blurRad="38100" w14:dist="19050" w14:dir="2700000" w14:sx="100000" w14:sy="100000" w14:kx="0" w14:ky="0" w14:algn="tl">
                            <w14:schemeClr w14:val="dk1">
                              <w14:alpha w14:val="60000"/>
                            </w14:schemeClr>
                          </w14:shadow>
                          <w14:reflection w14:blurRad="0" w14:stA="0" w14:stPos="0" w14:endA="0" w14:endPos="0" w14:dist="0" w14:dir="0" w14:fadeDir="0" w14:sx="0" w14:sy="0" w14:kx="0" w14:ky="0" w14:algn="none"/>
                          <w14:textFill>
                            <w14:solidFill>
                              <w14:schemeClr w14:val="tx1"/>
                            </w14:solidFill>
                          </w14:textFill>
                          <w14:props3d w14:extrusionH="0" w14:contourW="0" w14:prstMaterial="clear"/>
                        </w:rPr>
                        <w:t>2023年全球及中国氧化锌避雷器测试仪行业头部企业市场占有率及排名调研报告</w:t>
                      </w:r>
                    </w:p>
                    <w:p>
                      <w:pPr>
                        <w:rPr>
                          <w:rFonts w:hint="eastAsia"/>
                          <w:b/>
                          <w:bCs w:val="0"/>
                          <w:color w:val="000000" w:themeColor="text1"/>
                          <w:sz w:val="84"/>
                          <w:szCs w:val="84"/>
                          <w:lang w:val="en-US" w:eastAsia="zh-CN"/>
                          <w14:glow w14:rad="0">
                            <w14:srgbClr w14:val="000000"/>
                          </w14:glow>
                          <w14:shadow w14:blurRad="38100" w14:dist="19050" w14:dir="2700000" w14:sx="100000" w14:sy="100000" w14:kx="0" w14:ky="0" w14:algn="tl">
                            <w14:schemeClr w14:val="dk1">
                              <w14:alpha w14:val="60000"/>
                            </w14:schemeClr>
                          </w14:shadow>
                          <w14:reflection w14:blurRad="0" w14:stA="0" w14:stPos="0" w14:endA="0" w14:endPos="0" w14:dist="0" w14:dir="0" w14:fadeDir="0" w14:sx="0" w14:sy="0" w14:kx="0" w14:ky="0" w14:algn="none"/>
                          <w14:textFill>
                            <w14:solidFill>
                              <w14:schemeClr w14:val="tx1"/>
                            </w14:solidFill>
                          </w14:textFill>
                          <w14:props3d w14:extrusionH="0" w14:contourW="0" w14:prstMaterial="clear"/>
                        </w:rPr>
                      </w:pPr>
                    </w:p>
                  </w:txbxContent>
                </v:textbox>
              </v:shape>
            </w:pict>
          </mc:Fallback>
        </mc:AlternateContent>
      </w:r>
      <w:r>
        <w:rPr>
          <w:sz w:val="21"/>
        </w:rPr>
        <mc:AlternateContent>
          <mc:Choice Requires="wps">
            <w:drawing>
              <wp:anchor distT="0" distB="0" distL="114300" distR="114300" simplePos="0" relativeHeight="251664384" behindDoc="0" locked="0" layoutInCell="1" allowOverlap="1">
                <wp:simplePos x="0" y="0"/>
                <wp:positionH relativeFrom="column">
                  <wp:posOffset>-932815</wp:posOffset>
                </wp:positionH>
                <wp:positionV relativeFrom="paragraph">
                  <wp:posOffset>2559685</wp:posOffset>
                </wp:positionV>
                <wp:extent cx="1828800" cy="1828800"/>
                <wp:effectExtent l="0" t="0" r="0" b="0"/>
                <wp:wrapNone/>
                <wp:docPr id="13" name="文本框 13"/>
                <wp:cNvGraphicFramePr/>
                <a:graphic xmlns:a="http://schemas.openxmlformats.org/drawingml/2006/main">
                  <a:graphicData uri="http://schemas.microsoft.com/office/word/2010/wordprocessingShape">
                    <wps:wsp>
                      <wps:cNvSpPr txBox="1"/>
                      <wps:spPr>
                        <a:xfrm>
                          <a:off x="210185" y="3474085"/>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rPr>
                                <w:rFonts w:hint="eastAsia"/>
                                <w:lang w:eastAsia="zh-CN"/>
                              </w:rPr>
                            </w:pPr>
                          </w:p>
                        </w:txbxContent>
                      </wps:txbx>
                      <wps:bodyPr rot="0" spcFirstLastPara="0" vertOverflow="overflow" horzOverflow="overflow" vert="horz" wrap="none" lIns="91440" tIns="45720" rIns="91440" bIns="45720" numCol="1" spcCol="0" rtlCol="0" fromWordArt="0" anchor="t" anchorCtr="0" forceAA="0" compatLnSpc="1">
                        <a:spAutoFit/>
                      </wps:bodyPr>
                    </wps:wsp>
                  </a:graphicData>
                </a:graphic>
              </wp:anchor>
            </w:drawing>
          </mc:Choice>
          <mc:Fallback>
            <w:pict>
              <v:shape id="_x0000_s1026" o:spid="_x0000_s1026" o:spt="202" type="#_x0000_t202" style="position:absolute;left:0pt;margin-left:-73.45pt;margin-top:201.55pt;height:144pt;width:144pt;mso-wrap-style:none;z-index:251664384;mso-width-relative:page;mso-height-relative:page;" filled="f" stroked="f" coordsize="21600,21600" o:gfxdata="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">
                <v:fill on="f" focussize="0,0"/>
                <v:stroke on="f" weight="0.5pt"/>
                <v:imagedata o:title=""/>
                <o:lock v:ext="edit" aspectratio="f"/>
                <v:textbox style="mso-fit-shape-to-text:t;">
                  <w:txbxContent>
                    <w:p>
                      <w:pPr>
                        <w:rPr>
                          <w:rFonts w:hint="eastAsia"/>
                          <w:lang w:eastAsia="zh-CN"/>
                        </w:rPr>
                      </w:pPr>
                    </w:p>
                  </w:txbxContent>
                </v:textbox>
              </v:shape>
            </w:pict>
          </mc:Fallback>
        </mc:AlternateContent>
      </w:r>
      <w:r>
        <w:rPr>
          <w:sz w:val="21"/>
        </w:rPr>
        <mc:AlternateContent>
          <mc:Choice Requires="wps">
            <w:drawing>
              <wp:anchor distT="0" distB="0" distL="114300" distR="114300" simplePos="0" relativeHeight="251663360" behindDoc="0" locked="0" layoutInCell="1" allowOverlap="1">
                <wp:simplePos x="0" y="0"/>
                <wp:positionH relativeFrom="column">
                  <wp:posOffset>22225</wp:posOffset>
                </wp:positionH>
                <wp:positionV relativeFrom="paragraph">
                  <wp:posOffset>4613275</wp:posOffset>
                </wp:positionV>
                <wp:extent cx="836930" cy="148590"/>
                <wp:effectExtent l="0" t="0" r="1270" b="3810"/>
                <wp:wrapNone/>
                <wp:docPr id="7" name="矩形 7"/>
                <wp:cNvGraphicFramePr/>
                <a:graphic xmlns:a="http://schemas.openxmlformats.org/drawingml/2006/main">
                  <a:graphicData uri="http://schemas.microsoft.com/office/word/2010/wordprocessingShape">
                    <wps:wsp>
                      <wps:cNvSpPr/>
                      <wps:spPr>
                        <a:xfrm>
                          <a:off x="1120775" y="5109210"/>
                          <a:ext cx="836930" cy="148590"/>
                        </a:xfrm>
                        <a:prstGeom prst="rect">
                          <a:avLst/>
                        </a:prstGeom>
                        <a:solidFill>
                          <a:srgbClr val="1D939F"/>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_x0000_s1026" o:spid="_x0000_s1026" o:spt="1" style="position:absolute;left:0pt;margin-left:1.75pt;margin-top:363.25pt;height:11.7pt;width:65.9pt;z-index:251663360;v-text-anchor:middle;mso-width-relative:page;mso-height-relative:page;" fillcolor="#1D939F" filled="t" stroked="f" coordsize="21600,21600" o:gfxdata="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">
                <v:fill on="t" focussize="0,0"/>
                <v:stroke on="f" weight="1pt" miterlimit="8" joinstyle="miter"/>
                <v:imagedata o:title=""/>
                <o:lock v:ext="edit" aspectratio="f"/>
              </v:rect>
            </w:pict>
          </mc:Fallback>
        </mc:AlternateContent>
      </w:r>
      <w:r>
        <w:rPr>
          <w:sz w:val="21"/>
        </w:rPr>
        <mc:AlternateContent>
          <mc:Choice Requires="wps">
            <w:drawing>
              <wp:anchor distT="0" distB="0" distL="114300" distR="114300" simplePos="0" relativeHeight="251661312" behindDoc="0" locked="0" layoutInCell="1" allowOverlap="1">
                <wp:simplePos x="0" y="0"/>
                <wp:positionH relativeFrom="column">
                  <wp:posOffset>-883920</wp:posOffset>
                </wp:positionH>
                <wp:positionV relativeFrom="paragraph">
                  <wp:posOffset>74930</wp:posOffset>
                </wp:positionV>
                <wp:extent cx="6257290" cy="818515"/>
                <wp:effectExtent l="0" t="0" r="0" b="0"/>
                <wp:wrapNone/>
                <wp:docPr id="6" name="文本框 6"/>
                <wp:cNvGraphicFramePr/>
                <a:graphic xmlns:a="http://schemas.openxmlformats.org/drawingml/2006/main">
                  <a:graphicData uri="http://schemas.microsoft.com/office/word/2010/wordprocessingShape">
                    <wps:wsp>
                      <wps:cNvSpPr txBox="1"/>
                      <wps:spPr>
                        <a:xfrm>
                          <a:off x="0" y="0"/>
                          <a:ext cx="6257290" cy="818515"/>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jc w:val="left"/>
                              <w:rPr>
                                <w:rFonts w:hint="eastAsia" w:ascii="汉仪雅酷黑 75W" w:hAnsi="汉仪雅酷黑 75W" w:eastAsia="汉仪雅酷黑 75W" w:cs="汉仪雅酷黑 75W"/>
                                <w:b/>
                                <w:bCs/>
                                <w:color w:val="7B9DCA"/>
                                <w:sz w:val="36"/>
                                <w:szCs w:val="36"/>
                                <w:lang w:val="en-US" w:eastAsia="zh-CN"/>
                              </w:rPr>
                            </w:pP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69.6pt;margin-top:5.9pt;height:64.45pt;width:492.7pt;z-index:251661312;mso-width-relative:page;mso-height-relative:page;" filled="f" stroked="f" coordsize="21600,21600" o:gfxdata="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&#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">
                <v:fill on="f" focussize="0,0"/>
                <v:stroke on="f" weight="0.5pt"/>
                <v:imagedata o:title=""/>
                <o:lock v:ext="edit" aspectratio="f"/>
                <v:textbox>
                  <w:txbxContent>
                    <w:p>
                      <w:pPr>
                        <w:jc w:val="left"/>
                        <w:rPr>
                          <w:rFonts w:hint="eastAsia" w:ascii="汉仪雅酷黑 75W" w:hAnsi="汉仪雅酷黑 75W" w:eastAsia="汉仪雅酷黑 75W" w:cs="汉仪雅酷黑 75W"/>
                          <w:b/>
                          <w:bCs/>
                          <w:color w:val="7B9DCA"/>
                          <w:sz w:val="36"/>
                          <w:szCs w:val="36"/>
                          <w:lang w:val="en-US" w:eastAsia="zh-CN"/>
                        </w:rPr>
                      </w:pPr>
                    </w:p>
                  </w:txbxContent>
                </v:textbox>
              </v:shape>
            </w:pict>
          </mc:Fallback>
        </mc:AlternateContent>
      </w:r>
      <w:r>
        <w:drawing>
          <wp:anchor distT="0" distB="0" distL="114300" distR="114300" simplePos="0" relativeHeight="251662336" behindDoc="0" locked="0" layoutInCell="1" allowOverlap="1">
            <wp:simplePos x="0" y="0"/>
            <wp:positionH relativeFrom="column">
              <wp:posOffset>-866775</wp:posOffset>
            </wp:positionH>
            <wp:positionV relativeFrom="paragraph">
              <wp:posOffset>-171450</wp:posOffset>
            </wp:positionV>
            <wp:extent cx="1787525" cy="234315"/>
            <wp:effectExtent l="0" t="0" r="3175" b="13335"/>
            <wp:wrapNone/>
            <wp:docPr id="4"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2"/>
                    <pic:cNvPicPr>
                      <a:picLocks noChangeAspect="1"/>
                    </pic:cNvPicPr>
                  </pic:nvPicPr>
                  <pic:blipFill>
                    <a:blip r:embed="rId11"/>
                    <a:stretch>
                      <a:fillRect/>
                    </a:stretch>
                  </pic:blipFill>
                  <pic:spPr>
                    <a:xfrm>
                      <a:off x="0" y="0"/>
                      <a:ext cx="1787525" cy="234315"/>
                    </a:xfrm>
                    <a:prstGeom prst="rect">
                      <a:avLst/>
                    </a:prstGeom>
                    <a:noFill/>
                    <a:ln>
                      <a:noFill/>
                    </a:ln>
                  </pic:spPr>
                </pic:pic>
              </a:graphicData>
            </a:graphic>
          </wp:anchor>
        </w:drawing>
      </w:r>
    </w:p>
    <w:p>
      <w:pPr>
        <w:pStyle w:val="3"/>
        <w:numPr>
          <w:ilvl w:val="0"/>
          <w:numId w:val="2"/>
        </w:numPr>
        <w:ind w:left="420" w:leftChars="0" w:hanging="420" w:firstLineChars="0"/>
        <w:rPr>
          <w:rFonts w:hint="eastAsia" w:asciiTheme="minorEastAsia" w:hAnsiTheme="minorEastAsia" w:eastAsiaTheme="minorEastAsia" w:cstheme="minorEastAsia"/>
        </w:rPr>
      </w:pPr>
      <w:bookmarkStart w:id="0" w:name="_Toc24972781"/>
      <w:bookmarkStart w:id="1" w:name="_Toc88561636"/>
      <w:bookmarkStart w:id="2" w:name="_Toc24028591"/>
      <w:bookmarkStart w:id="3" w:name="_Toc122094241"/>
      <w:bookmarkStart w:id="4" w:name="_Toc96522124"/>
      <w:r>
        <w:rPr>
          <w:rFonts w:hint="eastAsia" w:asciiTheme="minorEastAsia" w:hAnsiTheme="minorEastAsia" w:eastAsiaTheme="minorEastAsia" w:cstheme="minorEastAsia"/>
        </w:rPr>
        <w:t>数据来源</w:t>
      </w:r>
      <w:bookmarkEnd w:id="0"/>
      <w:bookmarkEnd w:id="1"/>
      <w:bookmarkEnd w:id="2"/>
      <w:bookmarkEnd w:id="3"/>
      <w:bookmarkEnd w:id="4"/>
      <w:bookmarkStart w:id="5" w:name="_Toc88561637"/>
      <w:bookmarkStart w:id="6" w:name="_Toc96522125"/>
      <w:bookmarkStart w:id="7" w:name="_Toc122094242"/>
      <w:bookmarkStart w:id="8" w:name="_Toc24028592"/>
      <w:bookmarkStart w:id="9" w:name="_Toc24972782"/>
    </w:p>
    <w:p>
      <w:pPr>
        <w:pStyle w:val="4"/>
        <w:rPr>
          <w:rFonts w:hint="eastAsia"/>
        </w:rPr>
      </w:pPr>
      <w:bookmarkStart w:id="10" w:name="_Toc24972783"/>
      <w:bookmarkStart w:id="11" w:name="_Toc122094243"/>
      <w:bookmarkStart w:id="12" w:name="_Toc96522126"/>
      <w:bookmarkStart w:id="13" w:name="_Toc88561638"/>
      <w:bookmarkStart w:id="14" w:name="_Toc24028593"/>
      <w:r>
        <w:rPr>
          <w:rFonts w:hint="eastAsia" w:asciiTheme="minorEastAsia" w:hAnsiTheme="minorEastAsia" w:eastAsiaTheme="minorEastAsia" w:cstheme="minorEastAsia"/>
        </w:rPr>
        <w:t>一手信息来源</w:t>
      </w:r>
      <w:bookmarkEnd w:id="10"/>
      <w:bookmarkEnd w:id="11"/>
      <w:bookmarkEnd w:id="12"/>
      <w:bookmarkEnd w:id="13"/>
      <w:bookmarkEnd w:id="14"/>
    </w:p>
    <w:p>
      <w:pPr>
        <w:rPr>
          <w:rFonts w:hint="eastAsia" w:asciiTheme="minorEastAsia" w:hAnsiTheme="minorEastAsia" w:eastAsiaTheme="minorEastAsia" w:cstheme="minorEastAsia"/>
        </w:rPr>
      </w:pPr>
      <w:r>
        <w:rPr>
          <w:rFonts w:hint="eastAsia" w:asciiTheme="minorEastAsia" w:hAnsiTheme="minorEastAsia" w:eastAsiaTheme="minorEastAsia" w:cstheme="minorEastAsia"/>
          <w:sz w:val="24"/>
          <w:szCs w:val="24"/>
          <w:lang w:eastAsia="zh-CN"/>
        </w:rPr>
        <w:drawing>
          <wp:inline distT="0" distB="0" distL="114300" distR="114300">
            <wp:extent cx="5271135" cy="2748915"/>
            <wp:effectExtent l="0" t="0" r="5715" b="13335"/>
            <wp:docPr id="5" name="图片 5" descr="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descr="1"/>
                    <pic:cNvPicPr>
                      <a:picLocks noChangeAspect="1"/>
                    </pic:cNvPicPr>
                  </pic:nvPicPr>
                  <pic:blipFill>
                    <a:blip r:embed="rId12"/>
                    <a:srcRect l="6203" t="5580" r="5016" b="18699"/>
                    <a:stretch>
                      <a:fillRect/>
                    </a:stretch>
                  </pic:blipFill>
                  <pic:spPr>
                    <a:xfrm>
                      <a:off x="0" y="0"/>
                      <a:ext cx="5271135" cy="2748915"/>
                    </a:xfrm>
                    <a:prstGeom prst="rect">
                      <a:avLst/>
                    </a:prstGeom>
                  </pic:spPr>
                </pic:pic>
              </a:graphicData>
            </a:graphic>
          </wp:inline>
        </w:drawing>
      </w:r>
    </w:p>
    <w:p>
      <w:pPr>
        <w:pStyle w:val="14"/>
        <w:ind w:firstLine="420"/>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lang w:eastAsia="zh-CN"/>
        </w:rPr>
        <w:t>一手资料来源于研究团队对行业内重点企业访谈获取的一手信息数据，主要采访对象有公司CEO、营销/销售总监、高层管理人员、行业专家、技术负责</w:t>
      </w:r>
      <w:r>
        <w:rPr>
          <w:rFonts w:hint="eastAsia" w:asciiTheme="minorEastAsia" w:hAnsiTheme="minorEastAsia" w:cstheme="minorEastAsia"/>
          <w:sz w:val="28"/>
          <w:szCs w:val="28"/>
          <w:lang w:eastAsia="zh-CN"/>
        </w:rPr>
        <w:t>、</w:t>
      </w:r>
      <w:r>
        <w:rPr>
          <w:rFonts w:hint="eastAsia" w:asciiTheme="minorEastAsia" w:hAnsiTheme="minorEastAsia" w:eastAsiaTheme="minorEastAsia" w:cstheme="minorEastAsia"/>
          <w:sz w:val="28"/>
          <w:szCs w:val="28"/>
          <w:lang w:eastAsia="zh-CN"/>
        </w:rPr>
        <w:t>下游客户、分销商、代理商、经销商以及上游原料供应商等。</w:t>
      </w:r>
    </w:p>
    <w:p>
      <w:pPr>
        <w:pStyle w:val="4"/>
        <w:rPr>
          <w:rFonts w:hint="eastAsia" w:asciiTheme="minorEastAsia" w:hAnsiTheme="minorEastAsia" w:eastAsiaTheme="minorEastAsia" w:cstheme="minorEastAsia"/>
        </w:rPr>
      </w:pPr>
      <w:r>
        <w:rPr>
          <w:rFonts w:hint="eastAsia" w:asciiTheme="minorEastAsia" w:hAnsiTheme="minorEastAsia" w:eastAsiaTheme="minorEastAsia" w:cstheme="minorEastAsia"/>
        </w:rPr>
        <w:t>二手信息来源</w:t>
      </w:r>
      <w:bookmarkEnd w:id="5"/>
      <w:bookmarkEnd w:id="6"/>
      <w:bookmarkEnd w:id="7"/>
      <w:bookmarkEnd w:id="8"/>
      <w:bookmarkEnd w:id="9"/>
    </w:p>
    <w:p>
      <w:pPr>
        <w:pStyle w:val="14"/>
        <w:ind w:firstLine="420"/>
        <w:rPr>
          <w:rFonts w:hint="eastAsia" w:asciiTheme="minorEastAsia" w:hAnsiTheme="minorEastAsia" w:eastAsiaTheme="minorEastAsia" w:cstheme="minorEastAsia"/>
          <w:sz w:val="24"/>
          <w:szCs w:val="24"/>
          <w:lang w:eastAsia="zh-CN"/>
        </w:rPr>
      </w:pPr>
      <w:r>
        <w:rPr>
          <w:rFonts w:hint="eastAsia" w:asciiTheme="minorEastAsia" w:hAnsiTheme="minorEastAsia" w:eastAsiaTheme="minorEastAsia" w:cstheme="minorEastAsia"/>
          <w:b w:val="0"/>
          <w:bCs/>
          <w:sz w:val="28"/>
          <w:szCs w:val="28"/>
          <w:lang w:eastAsia="zh-CN"/>
        </w:rPr>
        <w:t>本公司利用大量的一手及二手资料来源核实所收集的数据或资料。二手资料来源主要包括全球范围相关行业新闻、公司年报、非盈利性组织、行业协会、政府机构、海关数据及第三方数据库等。本文应用了收集到的二手信息有来自新闻网站及第三方数据库如彭博新闻社、Market Watch、Hoovers、statista、TradingEconomics、Federal Reserve Economic Data、BIS Statistics、ICIS、CAS (American Chemical Society)、Investor Presentations、SEC文件、公司年报、Emerging Markets Information Service (EMIS)、Osiris、Zephyr、Uncomtrade、万得资讯、国研网、中国资讯行数据库、csmar数据库、皮书数据库及中经专网等。</w:t>
      </w:r>
    </w:p>
    <w:p>
      <w:pPr>
        <w:pStyle w:val="3"/>
        <w:numPr>
          <w:ilvl w:val="0"/>
          <w:numId w:val="3"/>
        </w:numPr>
        <w:ind w:left="420" w:leftChars="0" w:hanging="420" w:firstLineChars="0"/>
        <w:rPr>
          <w:rFonts w:hint="eastAsia" w:ascii="宋体" w:hAnsi="宋体" w:eastAsia="宋体" w:cs="宋体"/>
        </w:rPr>
      </w:pPr>
      <w:bookmarkStart w:id="15" w:name="_Toc96522127"/>
      <w:bookmarkStart w:id="16" w:name="_Toc535600433"/>
      <w:bookmarkStart w:id="17" w:name="_Toc14176326"/>
      <w:bookmarkStart w:id="18" w:name="_Toc476606187"/>
      <w:bookmarkStart w:id="19" w:name="_Toc88561639"/>
      <w:bookmarkStart w:id="20" w:name="_Toc24972784"/>
      <w:bookmarkStart w:id="21" w:name="_Toc24028594"/>
      <w:bookmarkStart w:id="22" w:name="_Toc122094244"/>
      <w:r>
        <w:rPr>
          <w:rFonts w:hint="eastAsia" w:ascii="宋体" w:hAnsi="宋体" w:eastAsia="宋体" w:cs="宋体"/>
        </w:rPr>
        <w:t>数据交互验证</w:t>
      </w:r>
      <w:bookmarkEnd w:id="15"/>
      <w:bookmarkEnd w:id="16"/>
      <w:bookmarkEnd w:id="17"/>
      <w:bookmarkEnd w:id="18"/>
      <w:bookmarkEnd w:id="19"/>
      <w:bookmarkEnd w:id="20"/>
      <w:bookmarkEnd w:id="21"/>
      <w:bookmarkEnd w:id="22"/>
    </w:p>
    <w:p>
      <w:pPr>
        <w:pStyle w:val="14"/>
        <w:ind w:firstLine="420"/>
        <w:rPr>
          <w:sz w:val="28"/>
          <w:szCs w:val="28"/>
          <w:lang w:eastAsia="zh-CN"/>
        </w:rPr>
      </w:pPr>
      <w:r>
        <w:rPr>
          <w:rFonts w:hint="eastAsia"/>
          <w:sz w:val="28"/>
          <w:szCs w:val="28"/>
          <w:lang w:eastAsia="zh-CN"/>
        </w:rPr>
        <w:t>本公司通过行业访谈、电话访问等调研获取一手数据时，调研人员会将多名受访者的资料及意见、多种来源的数据或资料、供应端及需求端进行比对核查，公司内部也会预先探讨该数据源的合法性，以确保数据的可靠性及合法合规。</w:t>
      </w:r>
    </w:p>
    <w:p>
      <w:pPr>
        <w:pStyle w:val="14"/>
        <w:ind w:firstLine="420"/>
        <w:rPr>
          <w:sz w:val="28"/>
          <w:szCs w:val="28"/>
          <w:lang w:eastAsia="zh-CN"/>
        </w:rPr>
      </w:pPr>
      <w:r>
        <w:rPr>
          <w:rFonts w:hint="eastAsia"/>
          <w:sz w:val="28"/>
          <w:szCs w:val="28"/>
          <w:lang w:eastAsia="zh-CN"/>
        </w:rPr>
        <w:t>本公司采用自上而下和自下而上方法来评估和验证主要公司、产品类型细分、产品应用细分、国家级及区域级的市场规模，以及全球市场总体数据。</w:t>
      </w:r>
    </w:p>
    <w:p>
      <w:pPr>
        <w:pStyle w:val="14"/>
        <w:ind w:firstLine="420"/>
        <w:rPr>
          <w:sz w:val="28"/>
          <w:szCs w:val="28"/>
          <w:lang w:eastAsia="zh-CN"/>
        </w:rPr>
      </w:pPr>
      <w:r>
        <w:rPr>
          <w:rFonts w:hint="eastAsia"/>
          <w:sz w:val="28"/>
          <w:szCs w:val="28"/>
          <w:lang w:eastAsia="zh-CN"/>
        </w:rPr>
        <w:t>产品关键生产商通过二手及一手信息来确定，行业规模（产销量及收入等），通过一手和二手信息判断，所有的市场份额、数据细分比例等，基于收集到的一手和二手信息核对和评估。本研究涵盖的所有可能影响市场的参数都已经被考虑进去，进行了广泛的细节观察，通过一手资料得到了验证，并进行了分析，以得到最终的定量和定性数据。</w:t>
      </w:r>
    </w:p>
    <w:p>
      <w:pPr>
        <w:pStyle w:val="14"/>
        <w:ind w:firstLine="420"/>
        <w:rPr>
          <w:sz w:val="28"/>
          <w:szCs w:val="28"/>
          <w:lang w:eastAsia="zh-CN"/>
        </w:rPr>
      </w:pPr>
      <w:r>
        <w:rPr>
          <w:rFonts w:hint="eastAsia"/>
          <w:sz w:val="28"/>
          <w:szCs w:val="28"/>
          <w:lang w:eastAsia="zh-CN"/>
        </w:rPr>
        <w:t>本研究包括了关键生产商公开的报告、评论、时事通讯以及对这些生产商相关人员的采访信息。如下展示了本报告采用的总体市场评估验证过程。</w:t>
      </w:r>
    </w:p>
    <w:p>
      <w:pPr>
        <w:pStyle w:val="15"/>
        <w:widowControl/>
        <w:numPr>
          <w:ilvl w:val="0"/>
          <w:numId w:val="4"/>
        </w:numPr>
        <w:spacing w:beforeLines="100" w:after="120" w:line="240" w:lineRule="auto"/>
        <w:ind w:left="420" w:leftChars="0" w:hanging="420" w:firstLineChars="0"/>
        <w:jc w:val="left"/>
        <w:rPr>
          <w:rFonts w:hint="eastAsia" w:ascii="宋体" w:hAnsi="宋体" w:eastAsia="宋体" w:cs="宋体"/>
          <w:sz w:val="32"/>
          <w:szCs w:val="32"/>
        </w:rPr>
      </w:pPr>
      <w:bookmarkStart w:id="23" w:name="_Toc122094314"/>
      <w:bookmarkStart w:id="24" w:name="_Toc88561252"/>
      <w:bookmarkStart w:id="25" w:name="_Toc96522462"/>
      <w:bookmarkStart w:id="26" w:name="_Toc24029157"/>
      <w:bookmarkStart w:id="27" w:name="_Toc26780061"/>
      <w:r>
        <w:rPr>
          <w:rFonts w:hint="eastAsia" w:ascii="宋体" w:hAnsi="宋体" w:eastAsia="宋体" w:cs="宋体"/>
          <w:sz w:val="32"/>
          <w:szCs w:val="32"/>
        </w:rPr>
        <w:t>自下而上及自上而下验证</w:t>
      </w:r>
      <w:bookmarkEnd w:id="23"/>
      <w:bookmarkEnd w:id="24"/>
      <w:bookmarkEnd w:id="25"/>
      <w:bookmarkEnd w:id="26"/>
      <w:bookmarkEnd w:id="27"/>
    </w:p>
    <w:p>
      <w:pPr>
        <w:rPr>
          <w:rFonts w:hint="eastAsia" w:eastAsiaTheme="minorEastAsia"/>
          <w:lang w:eastAsia="zh-CN"/>
        </w:rPr>
      </w:pPr>
      <w:r>
        <w:rPr>
          <w:rFonts w:hint="eastAsia" w:eastAsiaTheme="minorEastAsia"/>
          <w:lang w:eastAsia="zh-CN"/>
        </w:rPr>
        <w:drawing>
          <wp:inline distT="0" distB="0" distL="114300" distR="114300">
            <wp:extent cx="5989955" cy="4567555"/>
            <wp:effectExtent l="0" t="0" r="10795" b="4445"/>
            <wp:docPr id="14" name="图片 14" descr="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14" descr="2"/>
                    <pic:cNvPicPr>
                      <a:picLocks noChangeAspect="1"/>
                    </pic:cNvPicPr>
                  </pic:nvPicPr>
                  <pic:blipFill>
                    <a:blip r:embed="rId13"/>
                    <a:stretch>
                      <a:fillRect/>
                    </a:stretch>
                  </pic:blipFill>
                  <pic:spPr>
                    <a:xfrm>
                      <a:off x="0" y="0"/>
                      <a:ext cx="5989955" cy="4567555"/>
                    </a:xfrm>
                    <a:prstGeom prst="rect">
                      <a:avLst/>
                    </a:prstGeom>
                  </pic:spPr>
                </pic:pic>
              </a:graphicData>
            </a:graphic>
          </wp:inline>
        </w:drawing>
      </w:r>
    </w:p>
    <w:p>
      <w:pPr>
        <w:pStyle w:val="15"/>
        <w:widowControl/>
        <w:numPr>
          <w:ilvl w:val="0"/>
          <w:numId w:val="4"/>
        </w:numPr>
        <w:spacing w:beforeLines="100" w:after="120" w:line="240" w:lineRule="auto"/>
        <w:ind w:left="420" w:leftChars="0" w:hanging="420" w:firstLineChars="0"/>
        <w:jc w:val="left"/>
        <w:rPr>
          <w:sz w:val="32"/>
          <w:szCs w:val="32"/>
        </w:rPr>
      </w:pPr>
      <w:bookmarkStart w:id="28" w:name="_Toc96522463"/>
      <w:bookmarkStart w:id="29" w:name="_Toc24029158"/>
      <w:bookmarkStart w:id="30" w:name="_Toc26780062"/>
      <w:bookmarkStart w:id="31" w:name="_Toc88561253"/>
      <w:bookmarkStart w:id="32" w:name="_Toc122094315"/>
      <w:r>
        <w:rPr>
          <w:rFonts w:hint="eastAsia"/>
          <w:sz w:val="32"/>
          <w:szCs w:val="32"/>
        </w:rPr>
        <w:t>资料三角测定</w:t>
      </w:r>
      <w:bookmarkEnd w:id="28"/>
      <w:bookmarkEnd w:id="29"/>
      <w:bookmarkEnd w:id="30"/>
      <w:bookmarkEnd w:id="31"/>
      <w:bookmarkEnd w:id="32"/>
    </w:p>
    <w:p>
      <w:pPr>
        <w:rPr>
          <w:rFonts w:hint="eastAsia"/>
        </w:rPr>
      </w:pPr>
      <w:r>
        <w:drawing>
          <wp:inline distT="0" distB="0" distL="0" distR="0">
            <wp:extent cx="5917565" cy="3824605"/>
            <wp:effectExtent l="0" t="0" r="6985" b="4445"/>
            <wp:docPr id="501" name="图片 5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01" name="图片 501"/>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a:xfrm>
                      <a:off x="0" y="0"/>
                      <a:ext cx="5917565" cy="3824605"/>
                    </a:xfrm>
                    <a:prstGeom prst="rect">
                      <a:avLst/>
                    </a:prstGeom>
                    <a:noFill/>
                    <a:ln>
                      <a:noFill/>
                    </a:ln>
                  </pic:spPr>
                </pic:pic>
              </a:graphicData>
            </a:graphic>
          </wp:inline>
        </w:drawing>
      </w: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2023年全球及中国氧化锌避雷器测试仪行业头部企业市场占有率及排名调研报告</w:t>
      </w:r>
    </w:p>
    <w:p>
      <w:pPr>
        <w:rPr>
          <w:rFonts w:hint="eastAsia" w:asciiTheme="minorEastAsia" w:hAnsiTheme="minorEastAsia" w:eastAsiaTheme="minorEastAsia" w:cstheme="minorEastAsia"/>
          <w:sz w:val="28"/>
          <w:szCs w:val="28"/>
        </w:rPr>
      </w:pP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【报告篇幅】：146</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【报告图表数】：193</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【报告出版时间】：2023年1月</w:t>
      </w:r>
    </w:p>
    <w:p>
      <w:pPr>
        <w:rPr>
          <w:rFonts w:hint="eastAsia" w:asciiTheme="minorEastAsia" w:hAnsiTheme="minorEastAsia" w:eastAsiaTheme="minorEastAsia" w:cstheme="minorEastAsia"/>
          <w:sz w:val="28"/>
          <w:szCs w:val="28"/>
        </w:rPr>
      </w:pP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内容摘要</w:t>
      </w:r>
    </w:p>
    <w:p>
      <w:pPr>
        <w:rPr>
          <w:rFonts w:hint="eastAsia" w:asciiTheme="minorEastAsia" w:hAnsiTheme="minorEastAsia" w:eastAsiaTheme="minorEastAsia" w:cstheme="minorEastAsia"/>
          <w:sz w:val="28"/>
          <w:szCs w:val="28"/>
        </w:rPr>
      </w:pP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2022年全球氧化锌避雷器测试仪市场规模约 亿元，2018-2022年年复合增长率CAGR约为 %，预计未来将持续保持平稳增长的态势，到2029年市场规模将接近 亿元，未来六年CAGR为 %。</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从核心市场看，中国氧化锌避雷器测试仪市场占据全球约 %的市场份额，为全球最主要的消费市场之一，且增速高于全球。2022年市场规模约 亿元，2018-2022年年复合增长率约为 %。随着国内企业产品开发速度加快，随着新技术和产业政策的双轮驱动，未来中国氧化锌避雷器测试仪市场将迎来发展机遇，预计到2029年中国氧化锌避雷器测试仪市场将增长至 亿元，2023-2029年年复合增长率约为 %。2022年美国市场规模为 亿元，同期欧洲为 亿元，预计未来六年，这两地区CAGR分别为 %和 %。</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本文调研和分析全球氧化锌避雷器测试仪发展现状及未来趋势，核心内容如下：</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（1）全球市场总体规模，分别按销量和按收入进行了统计分析，历史数据2018-2022年，预测数据2023至2029年。</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（2）全球市场竞争格局，全球市场头部企业氧化锌避雷器测试仪销量、收入、价格市场占有率及行业排名，数据2018-2022年。</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（3）中国市场竞争格局，中国市场头部企业氧化锌避雷器测试仪销量、收入、价格市场占有率及行业排名，数据2018-2022年，包括国际企业及中国本土企业。</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（4）全球重点国家及地区氧化锌避雷器测试仪需求结构。</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（5）全球氧化锌避雷器测试仪核心生产地区及其产量、产能。</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（6）氧化锌避雷器测试仪行业产业链上游、中游及下游分析。</w:t>
      </w:r>
    </w:p>
    <w:p>
      <w:pPr>
        <w:rPr>
          <w:rFonts w:hint="eastAsia" w:asciiTheme="minorEastAsia" w:hAnsiTheme="minorEastAsia" w:eastAsiaTheme="minorEastAsia" w:cstheme="minorEastAsia"/>
          <w:sz w:val="28"/>
          <w:szCs w:val="28"/>
        </w:rPr>
      </w:pP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头部企业包括：</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HUAZHENG Electric Manufacturing</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Run Test Electric Manufacturing</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HV Hipot Electric</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Jinan Hengfeng Electric Power Equipment</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Gandian Lightning Protection Electric</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Rui Du Mechanical and electrical</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Rising Electric</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Hongte Electric Technology</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Hezhong Electrical Equipment Manufacturing</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Zhejiang Volcano-electrical technology</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Wuhan GDZX Power Equipment</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Wuhan Wugao Electric Measurement</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Wuhan Goldhome Hipot Electric</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按照不同产品类型，包括如下几个类别：</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有线氧化锌避雷器测试仪</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无线氧化锌避雷器测试仪</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按照不同应用，主要包括如下几个方面：</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通信行业</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航空航天</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工业</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其他</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本文重点关注如下国家或地区：</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北美市场（美国、加拿大和墨西哥）</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欧洲市场（德国、法国、英国、俄罗斯、意大利和欧洲其他国家）</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亚太市场（中国、日本、韩国、印度、东南亚和澳大利亚等）</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南美市场（巴西等）</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中东及非洲</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本文正文共11章，各章节主要内容如下：</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第1章：氧化锌避雷器测试仪定义及分类、全球及中国市场规模（按销量和按收入计）、行业发展机遇、挑战、趋势及政策</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第2章：全球氧化锌避雷器测试仪头部厂商，销量和收入市场占有率及排名，全球氧化锌避雷器测试仪产地分布等。</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第3章：中国氧化锌避雷器测试仪头部厂商，销量和收入市场占有率及排名</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第4章：全球氧化锌避雷器测试仪产能、产量及主要生产地区规模</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第5章：产业链、上游、中游和下游分析</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第6章：全球不同产品类型氧化锌避雷器测试仪销量、收入、价格及份额等</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第7章：全球不同应用氧化锌避雷器测试仪销量、收入、价格及份额等</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第8章：全球主要地区/国家氧化锌避雷器测试仪销量及销售额</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第9章：全球主要地区/国家氧化锌避雷器测试仪需求结构</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第10章：全球氧化锌避雷器测试仪头部厂商基本情况介绍，包括公司简介、氧化锌避雷器测试仪产品型号、销量、收入、价格及最新动态等</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第11章：报告结论</w:t>
      </w:r>
    </w:p>
    <w:p>
      <w:pPr>
        <w:rPr>
          <w:rFonts w:hint="eastAsia" w:asciiTheme="minorEastAsia" w:hAnsiTheme="minorEastAsia" w:eastAsiaTheme="minorEastAsia" w:cstheme="minorEastAsia"/>
          <w:sz w:val="28"/>
          <w:szCs w:val="28"/>
        </w:rPr>
      </w:pP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正文目录</w:t>
      </w:r>
    </w:p>
    <w:p>
      <w:pPr>
        <w:rPr>
          <w:rFonts w:hint="eastAsia" w:asciiTheme="minorEastAsia" w:hAnsiTheme="minorEastAsia" w:eastAsiaTheme="minorEastAsia" w:cstheme="minorEastAsia"/>
          <w:sz w:val="28"/>
          <w:szCs w:val="28"/>
        </w:rPr>
      </w:pP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1 氧化锌避雷器测试仪市场概述</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1.1 氧化锌避雷器测试仪定义及分类</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1.2 全球氧化锌避雷器测试仪行业市场规模及预测</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1.2.1 按收入计，全球氧化锌避雷器测试仪市场规模，2018-2029</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1.2.2 按销量计，全球氧化锌避雷器测试仪市场规模，2018-2029</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1.2.3 全球氧化锌避雷器测试仪价格趋势，2018-2029</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1.3 中国氧化锌避雷器测试仪行业市场规模及预测</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1.3.1 按收入计，中国氧化锌避雷器测试仪市场规模，2018-2029</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1.3.2 按销量计，中国氧化锌避雷器测试仪市场规模，2018-2029</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1.3.3 中国氧化锌避雷器测试仪价格趋势，2018-2029</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1.4 中国在全球市场的地位分析</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1.4.1 按收入计，中国在全球氧化锌避雷器测试仪市场的占比，2018-2029</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1.4.2 按销量计，中国在全球氧化锌避雷器测试仪市场的占比，2018-2029</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1.4.3 中国与全球氧化锌避雷器测试仪市场规模增速对比，2018-2029</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1.5 行业发展机遇、挑战、趋势及政策分析</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1.5.1 氧化锌避雷器测试仪行业驱动因素及发展机遇分析</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1.5.2 氧化锌避雷器测试仪行业阻碍因素及面临的挑战分析</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1.5.3 氧化锌避雷器测试仪行业发展趋势分析</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1.5.4 中国市场相关行业政策分析</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2 全球头部厂商市场占有率及排名</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2.1 按氧化锌避雷器测试仪收入计，全球头部厂商市场占有率，2018-2023</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2.2 按氧化锌避雷器测试仪销量计，全球头部厂商市场占有率，2018-2023</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2.3 氧化锌避雷器测试仪价格对比，全球头部厂商价格，2018-2023</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2.4 全球第一梯队、第二梯队和第三梯队，三类氧化锌避雷器测试仪市场参与者分析</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2.5 全球氧化锌避雷器测试仪行业集中度分析</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2.6 全球氧化锌避雷器测试仪行业企业并购情况</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2.7 全球氧化锌避雷器测试仪行业头部厂商产品列举</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3 中国市场头部厂商市场占有率及排名</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3.1 按氧化锌避雷器测试仪收入计，中国市场头部厂商市场占比，2018-2023</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3.2 按氧化锌避雷器测试仪销量计，中国市场头部厂商市场份额，2018-2023</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3.3 中国市场氧化锌避雷器测试仪参与者份额：第一梯队、第二梯队、第三梯队</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4 全球主要地区产能及产量分析</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4.1 全球氧化锌避雷器测试仪行业总产能、产量及产能利用率，2018-2029</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4.2 全球主要地区氧化锌避雷器测试仪产能分析</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4.3 全球主要地区氧化锌避雷器测试仪产量及未来增速预测，2018 VS 2022 VS 2029</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4.4 全球主要生产地区及氧化锌避雷器测试仪产量，2018-2029</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4.5 全球主要生产地区及氧化锌避雷器测试仪产量份额，2018-2029</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5 行业产业链分析</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5.1 氧化锌避雷器测试仪行业产业链</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5.2 上游分析</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5.2.1 氧化锌避雷器测试仪核心原料</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5.2.2 氧化锌避雷器测试仪原料供应商</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5.3 中游分析</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5.4 下游分析</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5.5 氧化锌避雷器测试仪生产方式</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5.6 氧化锌避雷器测试仪行业采购模式</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5.7 氧化锌避雷器测试仪行业销售模式及销售渠道</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5.7.1 氧化锌避雷器测试仪销售渠道</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5.7.2 氧化锌避雷器测试仪代表性经销商</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6 按产品类型拆分，市场规模分析</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6.1 氧化锌避雷器测试仪行业产品分类</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6.1.1 有线氧化锌避雷器测试仪</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6.1.2 无线氧化锌避雷器测试仪</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6.2 按产品类型拆分，全球氧化锌避雷器测试仪细分市场规模增速预测，2018 VS 2022 VS 2029</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6.3 按产品类型拆分，全球氧化锌避雷器测试仪细分市场规模（按收入），2018-2029</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6.4 按产品类型拆分，全球氧化锌避雷器测试仪细分市场规模（按销量），2018-2029</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6.5 按产品类型拆分，全球氧化锌避雷器测试仪细分市场价格，2018-2029</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7 全球氧化锌避雷器测试仪市场下游行业分布</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7.1 氧化锌避雷器测试仪行业下游分布</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7.1.1 通信行业</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7.1.2 航空航天</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7.1.3 工业</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7.1.4 其他</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7.2 全球氧化锌避雷器测试仪主要下游市场规模增速预测，2018 VS 2022 VS 2029</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7.3 按应用拆分，全球氧化锌避雷器测试仪细分市场规模（按收入），2018-2029</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7.4 按应用拆分，全球氧化锌避雷器测试仪细分市场规模（按销量），2018-2029</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7.5 按应用拆分，全球氧化锌避雷器测试仪细分市场价格，2018-2029</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8 全球主要地区市场规模对比分析</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8.1 全球主要地区氧化锌避雷器测试仪市场规模增速预测，2018 VS 2022 VS 2029</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8.2 全球主要地区氧化锌避雷器测试仪市场规模（按收入），2018-2029</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8.3 全球主要地区氧化锌避雷器测试仪市场规模（按销量），2018-2029</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8.4 北美</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8.4.1 北美氧化锌避雷器测试仪市场规模预测，2018-2029</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8.4.2 北美氧化锌避雷器测试仪市场规模，按国家细分，2022</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8.5 欧洲</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8.5.1 欧洲氧化锌避雷器测试仪市场规模预测，2018-2029</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8.5.2 欧洲氧化锌避雷器测试仪市场规模，按国家细分，2022</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8.6 亚太</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8.6.1 亚太氧化锌避雷器测试仪市场规模预测，2018-2029</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8.6.2 亚太氧化锌避雷器测试仪市场规模，按国家/地区细分，2022</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8.7 南美</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8.7.1 南美氧化锌避雷器测试仪市场规模预测，2018-2029</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8.7.2 南美氧化锌避雷器测试仪市场规模，按国家细分，2022</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8.8 中东及非洲</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9 全球主要国家/地区需求结构</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9.1 全球主要国家/地区氧化锌避雷器测试仪市场规模增速预测，2018 VS 2022 VS 2029</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9.2 全球主要国家/地区氧化锌避雷器测试仪市场规模（按收入），2018-2029</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9.3 全球主要国家/地区氧化锌避雷器测试仪市场规模（按销量），2018-2029</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9.4 美国</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9.4.1 美国氧化锌避雷器测试仪市场规模（按销量），2018-2029</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9.4.2 美国市场不同产品类型 氧化锌避雷器测试仪份额（按销量），2022 VS 2029</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9.4.3 美国市场不同应用氧化锌避雷器测试仪份额（按销量），2022 VS 2029</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9.5 欧洲</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9.5.1 欧洲氧化锌避雷器测试仪市场规模（按销量），2018-2029</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9.5.2 欧洲市场不同产品类型 氧化锌避雷器测试仪份额（按销量），2022 VS 2029</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9.5.3 欧洲市场不同应用氧化锌避雷器测试仪份额（按销量），2022 VS 2029</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9.6 中国</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9.6.1 中国氧化锌避雷器测试仪市场规模（按销量），2018-2029</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9.6.2 中国市场不同产品类型 氧化锌避雷器测试仪份额（按销量），2022 VS 2029</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9.6.3 中国市场不同应用氧化锌避雷器测试仪份额（按销量），2022 VS 2029</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9.7 日本</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9.7.1 日本氧化锌避雷器测试仪市场规模（按销量），2018-2029</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9.7.2 日本市场不同产品类型 氧化锌避雷器测试仪份额（按销量），2022 VS 2029</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9.7.3 日本市场不同应用氧化锌避雷器测试仪份额（按销量），2022 VS 2029</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9.8 韩国</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9.8.1 韩国氧化锌避雷器测试仪市场规模（按销量），2018-2029</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9.8.2 韩国市场不同产品类型 氧化锌避雷器测试仪份额（按销量），2022 VS 2029</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9.8.3 韩国市场不同应用氧化锌避雷器测试仪份额（按销量），2022 VS 2029</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9.9 东南亚</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9.9.1 东南亚氧化锌避雷器测试仪市场规模（按销量），2018-2029</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9.9.2 东南亚市场不同产品类型 氧化锌避雷器测试仪份额（按销量），2022 VS 2029</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9.9.3 东南亚市场不同应用氧化锌避雷器测试仪份额（按销量），2022 VS 2029</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9.10 印度</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9.10.1 印度氧化锌避雷器测试仪市场规模（按销量），2018-2029</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9.10.2 印度市场不同产品类型 氧化锌避雷器测试仪份额（按销量），2022 VS 2029</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9.10.3 印度市场不同应用氧化锌避雷器测试仪份额（按销量），2022 VS 2029</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9.11 南美</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9.11.1 南美氧化锌避雷器测试仪市场规模（按销量），2018-2029</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9.11.2 南美市场不同产品类型 氧化锌避雷器测试仪份额（按销量），2022 VS 2029</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9.11.3 南美市场不同应用氧化锌避雷器测试仪份额（按销量），2022 VS 2029</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9.12 中东及非洲</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9.12.1 中东及非洲氧化锌避雷器测试仪市场规模（按销量），2018-2029</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9.12.2 中东及非洲市场不同产品类型 氧化锌避雷器测试仪份额（按销量），2022 VS 2029</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9.12.3 中东及非洲市场不同应用氧化锌避雷器测试仪份额（按销量），2022 VS 2029</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10 主要氧化锌避雷器测试仪厂商简介</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10.1 HUAZHENG Electric Manufacturing</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10.1.1 HUAZHENG Electric Manufacturing基本信息、氧化锌避雷器测试仪生产基地、销售区域、竞争对手及市场地位</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10.1.2 HUAZHENG Electric Manufacturing 氧化锌避雷器测试仪产品型号、规格、参数及市场应用</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10.1.3 HUAZHENG Electric Manufacturing 氧化锌避雷器测试仪销量、收入、价格及毛利率（2018-2023）</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10.1.4 HUAZHENG Electric Manufacturing公司简介及主要业务</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10.1.5 HUAZHENG Electric Manufacturing企业最新动态</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10.2 Run Test Electric Manufacturing</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10.2.1 Run Test Electric Manufacturing基本信息、氧化锌避雷器测试仪生产基地、销售区域、竞争对手及市场地位</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10.2.2 Run Test Electric Manufacturing 氧化锌避雷器测试仪产品型号、规格、参数及市场应用</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10.2.3 Run Test Electric Manufacturing 氧化锌避雷器测试仪销量、收入、价格及毛利率（2018-2023）</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10.2.4 Run Test Electric Manufacturing公司简介及主要业务</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10.2.5 Run Test Electric Manufacturing企业最新动态</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10.3 HV Hipot Electric</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10.3.1 HV Hipot Electric基本信息、氧化锌避雷器测试仪生产基地、销售区域、竞争对手及市场地位</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10.3.2 HV Hipot Electric 氧化锌避雷器测试仪产品型号、规格、参数及市场应用</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10.3.3 HV Hipot Electric 氧化锌避雷器测试仪销量、收入、价格及毛利率（2018-2023）</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10.3.4 HV Hipot Electric公司简介及主要业务</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10.3.5 HV Hipot Electric企业最新动态</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10.4 Jinan Hengfeng Electric Power Equipment</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10.4.1 Jinan Hengfeng Electric Power Equipment基本信息、氧化锌避雷器测试仪生产基地、销售区域、竞争对手及市场地位</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10.4.2 Jinan Hengfeng Electric Power Equipment 氧化锌避雷器测试仪产品型号、规格、参数及市场应用</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10.4.3 Jinan Hengfeng Electric Power Equipment 氧化锌避雷器测试仪销量、收入、价格及毛利率（2018-2023）</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10.4.4 Jinan Hengfeng Electric Power Equipment公司简介及主要业务</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10.4.5 Jinan Hengfeng Electric Power Equipment企业最新动态</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10.5 Gandian Lightning Protection Electric</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10.5.1 Gandian Lightning Protection Electric基本信息、氧化锌避雷器测试仪生产基地、销售区域、竞争对手及市场地位</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10.5.2 Gandian Lightning Protection Electric 氧化锌避雷器测试仪产品型号、规格、参数及市场应用</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10.5.3 Gandian Lightning Protection Electric 氧化锌避雷器测试仪销量、收入、价格及毛利率（2018-2023）</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10.5.4 Gandian Lightning Protection Electric公司简介及主要业务</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10.5.5 Gandian Lightning Protection Electric企业最新动态</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10.6 Rui Du Mechanical and electrical</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10.6.1 Rui Du Mechanical and electrical基本信息、氧化锌避雷器测试仪生产基地、销售区域、竞争对手及市场地位</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10.6.2 Rui Du Mechanical and electrical 氧化锌避雷器测试仪产品型号、规格、参数及市场应用</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10.6.3 Rui Du Mechanical and electrical 氧化锌避雷器测试仪销量、收入、价格及毛利率（2018-2023）</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10.6.4 Rui Du Mechanical and electrical公司简介及主要业务</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10.6.5 Rui Du Mechanical and electrical企业最新动态</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10.7 Rising Electric</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10.7.1 Rising Electric基本信息、氧化锌避雷器测试仪生产基地、销售区域、竞争对手及市场地位</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10.7.2 Rising Electric 氧化锌避雷器测试仪产品型号、规格、参数及市场应用</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10.7.3 Rising Electric 氧化锌避雷器测试仪销量、收入、价格及毛利率（2018-2023）</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10.7.4 Rising Electric公司简介及主要业务</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10.7.5 Rising Electric企业最新动态</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10.8 Hongte Electric Technology</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10.8.1 Hongte Electric Technology基本信息、氧化锌避雷器测试仪生产基地、销售区域、竞争对手及市场地位</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10.8.2 Hongte Electric Technology 氧化锌避雷器测试仪产品型号、规格、参数及市场应用</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10.8.3 Hongte Electric Technology 氧化锌避雷器测试仪销量、收入、价格及毛利率（2018-2023）</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10.8.4 Hongte Electric Technology公司简介及主要业务</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10.8.5 Hongte Electric Technology企业最新动态</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10.9 Hezhong Electrical Equipment Manufacturing</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10.9.1 Hezhong Electrical Equipment Manufacturing基本信息、氧化锌避雷器测试仪生产基地、销售区域、竞争对手及市场地位</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10.9.2 Hezhong Electrical Equipment Manufacturing 氧化锌避雷器测试仪产品型号、规格、参数及市场应用</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10.9.3 Hezhong Electrical Equipment Manufacturing 氧化锌避雷器测试仪销量、收入、价格及毛利率（2018-2023）</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10.9.4 Hezhong Electrical Equipment Manufacturing公司简介及主要业务</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10.9.5 Hezhong Electrical Equipment Manufacturing企业最新动态</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10.10 Zhejiang Volcano-electrical technology</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10.10.1 Zhejiang Volcano-electrical technology基本信息、氧化锌避雷器测试仪生产基地、销售区域、竞争对手及市场地位</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10.10.2 Zhejiang Volcano-electrical technology 氧化锌避雷器测试仪产品型号、规格、参数及市场应用</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10.10.3 Zhejiang Volcano-electrical technology 氧化锌避雷器测试仪销量、收入、价格及毛利率（2018-2023）</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10.10.4 Zhejiang Volcano-electrical technology公司简介及主要业务</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10.10.5 Zhejiang Volcano-electrical technology企业最新动态</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10.11 Wuhan GDZX Power Equipment</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10.11.1 Wuhan GDZX Power Equipment基本信息、 氧化锌避雷器测试仪生产基地、销售区域、竞争对手及市场地位</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10.11.2 Wuhan GDZX Power Equipment 氧化锌避雷器测试仪产品型号、规格、参数及市场应用</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10.11.3 Wuhan GDZX Power Equipment 氧化锌避雷器测试仪销量、收入、价格及毛利率（2018-2023）</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10.11.4 Wuhan GDZX Power Equipment公司简介及主要业务</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10.11.5 Wuhan GDZX Power Equipment企业最新动态</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10.12 Wuhan Wugao Electric Measurement</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10.12.1 Wuhan Wugao Electric Measurement基本信息、 氧化锌避雷器测试仪生产基地、销售区域、竞争对手及市场地位</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10.12.2 Wuhan Wugao Electric Measurement 氧化锌避雷器测试仪产品型号、规格、参数及市场应用</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10.12.3 Wuhan Wugao Electric Measurement 氧化锌避雷器测试仪销量、收入、价格及毛利率（2018-2023）</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10.12.4 Wuhan Wugao Electric Measurement公司简介及主要业务</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10.12.5 Wuhan Wugao Electric Measurement企业最新动态</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10.13 Wuhan Goldhome Hipot Electric</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10.13.1 Wuhan Goldhome Hipot Electric基本信息、 氧化锌避雷器测试仪生产基地、销售区域、竞争对手及市场地位</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10.13.2 Wuhan Goldhome Hipot Electric 氧化锌避雷器测试仪产品型号、规格、参数及市场应用</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10.13.3 Wuhan Goldhome Hipot Electric 氧化锌避雷器测试仪销量、收入、价格及毛利率（2018-2023）</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10.13.4 Wuhan Goldhome Hipot Electric公司简介及主要业务</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10.13.5 Wuhan Goldhome Hipot Electric企业最新动态</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11 研究成果及结论</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12 附录</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12.1 研究方法</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12.2 数据来源</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12.2.1 二手信息来源</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12.2.2 一手信息来源</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12.3 市场评估模型</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12.4 免责声明</w:t>
      </w:r>
    </w:p>
    <w:p>
      <w:pPr>
        <w:rPr>
          <w:rFonts w:hint="eastAsia" w:asciiTheme="minorEastAsia" w:hAnsiTheme="minorEastAsia" w:eastAsiaTheme="minorEastAsia" w:cstheme="minorEastAsia"/>
          <w:sz w:val="28"/>
          <w:szCs w:val="28"/>
        </w:rPr>
      </w:pP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表格目录</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表1 中国与全球氧化锌避雷器测试仪市场规模增速对比（2018-2029）&amp;（万元）</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表2 全球氧化锌避雷器测试仪行业面临的阻碍因素及挑战分析</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表3 全球氧化锌避雷器测试仪行业发展趋势分析</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表4 中国市场相关行业政策分析及影响</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表5 全球头部厂商氧化锌避雷器测试仪收入（2018-2023）&amp;（万元），按2022年数据排名</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表6 全球头部厂商氧化锌避雷器测试仪收入份额，2018-2023，按2022年数据排名</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表7 全球头部厂商氧化锌避雷器测试仪销量（2018-2023）&amp;（台），按2022年数据排名</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表8 全球头部厂商氧化锌避雷器测试仪销量份额，2018-2023，按2022年数据排名</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表9 全球头部厂商氧化锌避雷器测试仪价格（2018-2023）&amp;（元/台）</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表10 行业集中度分析，近三年（2021-2023）全球氧化锌避雷器测试仪 CR3（前三大厂商市场份额）</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表11 全球氧化锌避雷器测试仪行业企业并购情况</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表12 全球氧化锌避雷器测试仪行业头部厂商产品列举</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表13 全球氧化锌避雷器测试仪行业主要生产商总部及产地分布</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表14 2022年全球主要生产商氧化锌避雷器测试仪产能及未来扩产计划</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表15 中国市场头部厂商氧化锌避雷器测试仪收入（2018-2023）&amp;（万元），按2022年数据排名</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表16 中国市场头部厂商氧化锌避雷器测试仪收入份额，2018-2023</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表17 中国市场头部厂商氧化锌避雷器测试仪销量（2018-2023）&amp;（台）</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表18 中国市场头部厂商氧化锌避雷器测试仪销量份额，2018-2023</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表19 全球主要地区氧化锌避雷器测试仪产量及未来增速预测：2018 VS 2022 VS 2029（台）</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表20 全球主要地区氧化锌避雷器测试仪产量（2018-2023）&amp;（台）</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表21 全球主要地区氧化锌避雷器测试仪产量预测（2023-2029）&amp;（台）</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表22 全球氧化锌避雷器测试仪主要原料供应商</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表23 全球氧化锌避雷器测试仪行业代表性下游客户</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表24 氧化锌避雷器测试仪代表性经销商</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表25 按产品类型拆分，全球氧化锌避雷器测试仪细分市场规模增速预测（2018 VS 2022 VS 2029）&amp;（按收入，万元）</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表26 按应用拆分，全球氧化锌避雷器测试仪细分市场规模增速预测（2018 VS 2022 VS 2029）&amp;（按收入，万元）</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表27 全球主要地区氧化锌避雷器测试仪市场规模增速预测（2018 VS 2022 VS 2029）&amp;（按收入，万元）</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表28 全球主要地区氧化锌避雷器测试仪收入（2018-2029）&amp;（万元）</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表29 全球主要地区氧化锌避雷器测试仪销量（2018-2029）&amp;（台）</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表30 全球主要国家/地区氧化锌避雷器测试仪市场规模增速预测（2018 VS 2022 VS 2029）&amp;（按收入，万元）</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表31 全球主要国家/地区氧化锌避雷器测试仪收入（万元），2018-2029</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表32 全球主要国家/地区氧化锌避雷器测试仪收入份额，2018-2029</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表33 全球主要国家/地区氧化锌避雷器测试仪销量（2018-2029）&amp;（台）</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表34 全球主要国家/地区氧化锌避雷器测试仪销量份额，2018-2029</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表35 HUAZHENG Electric Manufacturing 氧化锌避雷器测试仪生产基地、销售区域、竞争对手及市场地位</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表36 HUAZHENG Electric Manufacturing 氧化锌避雷器测试仪产品型号、规格、参数及市场应用</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表37 HUAZHENG Electric Manufacturing 氧化锌避雷器测试仪销量（台）、收入（万元）、价格（元/台）及毛利率（2018-2023）</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表38 HUAZHENG Electric Manufacturing公司简介及主要业务</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表39 HUAZHENG Electric Manufacturing企业最新动态</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表40 Run Test Electric Manufacturing 氧化锌避雷器测试仪生产基地、销售区域、竞争对手及市场地位</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表41 Run Test Electric Manufacturing 氧化锌避雷器测试仪产品型号、规格、参数及市场应用</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表42 Run Test Electric Manufacturing 氧化锌避雷器测试仪销量（台）、收入（万元）、价格（元/台）及毛利率（2018-2023）</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表43 Run Test Electric Manufacturing公司简介及主要业务</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表44 Run Test Electric Manufacturing企业最新动态</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表45 HV Hipot Electric 氧化锌避雷器测试仪生产基地、销售区域、竞争对手及市场地位</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表46 HV Hipot Electric 氧化锌避雷器测试仪产品型号、规格、参数及市场应用</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表47 HV Hipot Electric 氧化锌避雷器测试仪销量（台）、收入（万元）、价格（元/台）及毛利率（2018-2023）</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表48 HV Hipot Electric公司简介及主要业务</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表49 HV Hipot Electric企业最新动态</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表50 Jinan Hengfeng Electric Power Equipment 氧化锌避雷器测试仪生产基地、销售区域、竞争对手及市场地位</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表51 Jinan Hengfeng Electric Power Equipment 氧化锌避雷器测试仪产品型号、规格、参数及市场应用</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表52 Jinan Hengfeng Electric Power Equipment 氧化锌避雷器测试仪销量（台）、收入（万元）、价格（元/台）及毛利率（2018-2023）</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表53 Jinan Hengfeng Electric Power Equipment公司简介及主要业务</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表54 Jinan Hengfeng Electric Power Equipment企业最新动态</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表55 Gandian Lightning Protection Electric 氧化锌避雷器测试仪生产基地、销售区域、竞争对手及市场地位</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表56 Gandian Lightning Protection Electric 氧化锌避雷器测试仪产品型号、规格、参数及市场应用</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表57 Gandian Lightning Protection Electric 氧化锌避雷器测试仪销量（台）、收入（万元）、价格（元/台）及毛利率（2018-2023）</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表58 Gandian Lightning Protection Electric公司简介及主要业务</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表59 Gandian Lightning Protection Electric企业最新动态</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表60 Rui Du Mechanical and electrical 氧化锌避雷器测试仪生产基地、销售区域、竞争对手及市场地位</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表61 Rui Du Mechanical and electrical 氧化锌避雷器测试仪产品型号、规格、参数及市场应用</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表62 Rui Du Mechanical and electrical 氧化锌避雷器测试仪销量（台）、收入（万元）、价格（元/台）及毛利率（2018-2023）</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表63 Rui Du Mechanical and electrical公司简介及主要业务</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表64 Rui Du Mechanical and electrical企业最新动态</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表65 Rising Electric 氧化锌避雷器测试仪生产基地、销售区域、竞争对手及市场地位</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表66 Rising Electric 氧化锌避雷器测试仪产品型号、规格、参数及市场应用</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表67 Rising Electric 氧化锌避雷器测试仪销量（台）、收入（万元）、价格（元/台）及毛利率（2018-2023）</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表68 Rising Electric公司简介及主要业务</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表69 Rising Electric企业最新动态</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表70 Hongte Electric Technology 氧化锌避雷器测试仪生产基地、销售区域、竞争对手及市场地位</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表71 Hongte Electric Technology 氧化锌避雷器测试仪产品型号、规格、参数及市场应用</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表72 Hongte Electric Technology 氧化锌避雷器测试仪销量（台）、收入（万元）、价格（元/台）及毛利率（2018-2023）</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表73 Hongte Electric Technology公司简介及主要业务</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表74 Hongte Electric Technology企业最新动态</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表75 Hezhong Electrical Equipment Manufacturing 氧化锌避雷器测试仪生产基地、销售区域、竞争对手及市场地位</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表76 Hezhong Electrical Equipment Manufacturing 氧化锌避雷器测试仪产品型号、规格、参数及市场应用</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表77 Hezhong Electrical Equipment Manufacturing 氧化锌避雷器测试仪销量（台）、收入（万元）、价格（元/台）及毛利率（2018-2023）</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表78 Hezhong Electrical Equipment Manufacturing公司简介及主要业务</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表79 Hezhong Electrical Equipment Manufacturing企业最新动态</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表80 Zhejiang Volcano-electrical technology 氧化锌避雷器测试仪生产基地、销售区域、竞争对手及市场地位</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表81 Zhejiang Volcano-electrical technology 氧化锌避雷器测试仪产品型号、规格、参数及市场应用</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表82 Zhejiang Volcano-electrical technology 氧化锌避雷器测试仪销量（台）、收入（万元）、价格（元/台）及毛利率（2018-2023）</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表83 Zhejiang Volcano-electrical technology公司简介及主要业务</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表84 Zhejiang Volcano-electrical technology企业最新动态</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表85 Wuhan GDZX Power Equipment 氧化锌避雷器测试仪生产基地、销售区域、竞争对手及市场地位</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表86 Wuhan GDZX Power Equipment 氧化锌避雷器测试仪产品型号、规格、参数及市场应用</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表87 Wuhan GDZX Power Equipment 氧化锌避雷器测试仪销量（台）、收入（万元）、价格（元/台）及毛利率（2018-2023）</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表88 Wuhan GDZX Power Equipment公司简介及主要业务</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表89 Wuhan GDZX Power Equipment企业最新动态</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表90 Wuhan Wugao Electric Measurement 氧化锌避雷器测试仪生产基地、销售区域、竞争对手及市场地位</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表91 Wuhan Wugao Electric Measurement 氧化锌避雷器测试仪产品型号、规格、参数及市场应用</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表92 Wuhan Wugao Electric Measurement 氧化锌避雷器测试仪销量（台）、收入（万元）、价格（元/台）及毛利率（2018-2023）</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表93 Wuhan Wugao Electric Measurement公司简介及主要业务</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表94 Wuhan Wugao Electric Measurement企业最新动态</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表95 Wuhan Goldhome Hipot Electric 氧化锌避雷器测试仪生产基地、销售区域、竞争对手及市场地位</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表96 Wuhan Goldhome Hipot Electric 氧化锌避雷器测试仪产品型号、规格、参数及市场应用</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表97 Wuhan Goldhome Hipot Electric 氧化锌避雷器测试仪销量（台）、收入（万元）、价格（元/台）及毛利率（2018-2023）</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表98 Wuhan Goldhome Hipot Electric公司简介及主要业务</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表99 Wuhan Goldhome Hipot Electric企业最新动态</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图表目录</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图1 氧化锌避雷器测试仪产品图片</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图2 全球氧化锌避雷器测试仪行业收入及预测（2018-2029）&amp;（万元）</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图3 全球氧化锌避雷器测试仪销量（2018-2029）&amp;（台）</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图4 全球氧化锌避雷器测试仪价格趋势（2018-2029）&amp;（元/台）</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图5 中国市场氧化锌避雷器测试仪收入及预测（2018-2029）&amp;（万元）</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图6 中国氧化锌避雷器测试仪销量（2018-2029）&amp;（台）</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图7 中国市场氧化锌避雷器测试仪总体价格趋势（2018-2029）&amp;（元/台）</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图8 中国市场氧化锌避雷器测试仪占全球总收入的份额，2018-2029</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图9 中国市场氧化锌避雷器测试仪销量占全球总销量的份额，2018-2029</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图10 全球氧化锌避雷器测试仪市场参与者，2022年第一梯队、第二梯队和第三梯队市场份额</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图11 中国市场氧化锌避雷器测试仪参与者，2022年第一梯队、第二梯队和第三梯队市场份额 </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图12 全球氧化锌避雷器测试仪行业总产能、产量及产能利用率，2018-2029</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图13 全球市场主要地区氧化锌避雷器测试仪产能份额分析: 2022 VS 2029</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图14 全球主要生产地区及氧化锌避雷器测试仪产量市场份额，2018-2029</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图15 氧化锌避雷器测试仪行业产业链</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图16 氧化锌避雷器测试仪行业采购模式分析</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图17 氧化锌避雷器测试仪行业销售模式分析</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图18 氧化锌避雷器测试仪销售渠道：直销和经销渠道</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图19 有线氧化锌避雷器测试仪</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图20 无线氧化锌避雷器测试仪</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图21 按产品类型拆分，全球氧化锌避雷器测试仪细分市场规模（2018-2029）&amp;（按收入，万元）</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图22 按产品类型拆分，全球氧化锌避雷器测试仪市场份额（按收入），2018-2029</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图23 按产品类型拆分，全球氧化锌避雷器测试仪细分市场销量（2018-2029）&amp;（台）</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图24 按产品类型拆分，全球氧化锌避雷器测试仪市场份额（按销量），2018-2029</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图25 按产品类型拆分，全球氧化锌避雷器测试仪细分市场价格（2018-2029）&amp;（元/台）</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图26 通信行业</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图27 航空航天</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图28 工业</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图29 其他</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图30 按应用拆分，全球氧化锌避雷器测试仪细分市场规模（2018-2029）&amp;（按收入，万元）</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图31 按应用拆分，全球氧化锌避雷器测试仪市场份额（按收入），2018-2029</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图32 按应用拆分，全球氧化锌避雷器测试仪细分市场销量（2018-2029）&amp;（台）</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图33 按应用拆分，全球氧化锌避雷器测试仪市场份额（按销量），2018-2029</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图34 按应用拆分，全球氧化锌避雷器测试仪细分市场价格（2018-2029）&amp;（元/台）</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图35 全球主要地区氧化锌避雷器测试仪收入份额，2018-2029</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图36 全球主要地区氧化锌避雷器测试仪销量份额，2018-2029</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图37 北美氧化锌避雷器测试仪市场规模预测（按收入，万元），2018-2029</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图38 北美氧化锌避雷器测试仪市场份额（按收入），按国家细分，2022</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图39 欧洲氧化锌避雷器测试仪市场规模预测（按收入，万元），2018-2029</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图40 欧洲氧化锌避雷器测试仪市场份额（按收入），按国家细分，2022</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图41 亚太氧化锌避雷器测试仪市场规模预测（按收入，万元），2018-2029</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图42 亚太氧化锌避雷器测试仪市场份额（按收入），按国家/地区细分，2022</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图43 南美氧化锌避雷器测试仪市场规模预测（按收入，万元），2018-2029</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图44 南美氧化锌避雷器测试仪市场份额（按收入），按国家细分，2022</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图45 中东及非洲氧化锌避雷器测试仪市场规模预测（按收入，万元），2018-2029</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图46 美国氧化锌避雷器测试仪销量预测（2018-2029）&amp;（台）</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图47 美国市场不同产品类型 氧化锌避雷器测试仪份额（按销量），2022 VS 2029</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图48 美国市场不同应用 氧化锌避雷器测试仪份额（按销量），2022 VS 2029</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图49 欧洲氧化锌避雷器测试仪销量预测（2018-2029）&amp;（台）</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图50 欧洲市场不同产品类型 氧化锌避雷器测试仪份额（按销量），2022 VS 2029</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图51 欧洲市场不同应用 氧化锌避雷器测试仪份额（按销量），2022 VS 2029</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图52 中国氧化锌避雷器测试仪销量预测（2018-2029）&amp;（台）</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图53 中国市场不同产品类型 氧化锌避雷器测试仪份额（按销量），2022 VS 2029</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图54 中国市场不同应用 氧化锌避雷器测试仪份额（按销量），2022 VS 2029</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图55 日本氧化锌避雷器测试仪销量预测（2018-2029）&amp;（台）</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图56 日本市场不同产品类型 氧化锌避雷器测试仪份额（按销量），2022 VS 2029</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图57 日本市场不同应用 氧化锌避雷器测试仪份额（按销量），2022 VS 2029</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图58 韩国氧化锌避雷器测试仪销量预测（2018-2029）&amp;（台）</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图59 韩国市场不同产品类型 氧化锌避雷器测试仪份额（按销量），2022 VS 2029</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图60 韩国市场不同应用 氧化锌避雷器测试仪份额（按销量），2022 VS 2029</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图61 东南亚氧化锌避雷器测试仪销量预测（2018-2029）&amp;（台）</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图62 东南亚市场不同产品类型 氧化锌避雷器测试仪份额（按销量），2022 VS 2029</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图63 东南亚市场不同应用 氧化锌避雷器测试仪份额（按销量），2022 VS 2029</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图64 印度氧化锌避雷器测试仪销量预测（2018-2029）&amp;（台）</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图65 印度市场不同产品类型 氧化锌避雷器测试仪份额（按销量），2022 VS 2029</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图66 印度市场不同应用 氧化锌避雷器测试仪份额（按销量），2022 VS 2029</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图67 南美氧化锌避雷器测试仪销量预测（2018-2029）&amp;（台）</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图68 南美市场不同产品类型 氧化锌避雷器测试仪份额（按销量），2022 VS 2029</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图69 南美市场不同应用 氧化锌避雷器测试仪份额（按销量），2022 VS 2029</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图70 中东及非洲氧化锌避雷器测试仪销量预测（2018-2029）&amp;（台）</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图71 中东及非洲市场不同产品类型 氧化锌避雷器测试仪份额（按销量），2022 VS 2029</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图72 中东及非洲市场不同应用 氧化锌避雷器测试仪份额（按销量），2022 VS 2029</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图73 研究方法</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图74 主要采访目标</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图75 自下而上Bottom-up验证</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图76 自上而下Top-down验证</w:t>
      </w:r>
    </w:p>
    <w:p>
      <w:pPr>
        <w:rPr>
          <w:rFonts w:hint="eastAsia" w:asciiTheme="minorEastAsia" w:hAnsiTheme="minorEastAsia" w:eastAsiaTheme="minorEastAsia" w:cstheme="minorEastAsia"/>
          <w:sz w:val="28"/>
          <w:szCs w:val="28"/>
        </w:rPr>
      </w:pPr>
    </w:p>
    <w:p>
      <w:pPr>
        <w:rPr>
          <w:rFonts w:hint="eastAsia" w:asciiTheme="minorEastAsia" w:hAnsiTheme="minorEastAsia" w:eastAsiaTheme="minorEastAsia" w:cstheme="minorEastAsia"/>
          <w:sz w:val="28"/>
          <w:szCs w:val="28"/>
        </w:rPr>
      </w:pPr>
    </w:p>
    <w:sectPr>
      <w:pgSz w:w="11906" w:h="16838"/>
      <w:pgMar w:top="1440" w:right="1800" w:bottom="1440" w:left="1800" w:header="851" w:footer="992" w:gutter="0"/>
      <w:cols w:space="425" w:num="1"/>
      <w:titlePg/>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libri Light">
    <w:panose1 w:val="020F0302020204030204"/>
    <w:charset w:val="00"/>
    <w:family w:val="auto"/>
    <w:pitch w:val="default"/>
    <w:sig w:usb0="A00002EF" w:usb1="4000207B" w:usb2="00000000" w:usb3="00000000" w:csb0="2000019F" w:csb1="00000000"/>
  </w:font>
  <w:font w:name="汉仪雅酷黑 75W">
    <w:altName w:val="黑体"/>
    <w:panose1 w:val="020B0804020202020204"/>
    <w:charset w:val="86"/>
    <w:family w:val="auto"/>
    <w:pitch w:val="default"/>
    <w:sig w:usb0="00000000" w:usb1="00000000" w:usb2="00000016" w:usb3="00000000" w:csb0="2004000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8"/>
                          </w:pPr>
                          <w:r>
                            <w:fldChar w:fldCharType="begin"/>
                          </w:r>
                          <w:r>
                            <w:instrText xml:space="preserve"> PAGE  \* MERGEFORMAT </w:instrText>
                          </w:r>
                          <w:r>
                            <w:fldChar w:fldCharType="separate"/>
                          </w:r>
                          <w:r>
                            <w:t>3</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pPr>
                      <w:pStyle w:val="8"/>
                    </w:pPr>
                    <w:r>
                      <w:fldChar w:fldCharType="begin"/>
                    </w:r>
                    <w:r>
                      <w:instrText xml:space="preserve"> PAGE  \* MERGEFORMAT </w:instrText>
                    </w:r>
                    <w:r>
                      <w:fldChar w:fldCharType="separate"/>
                    </w:r>
                    <w:r>
                      <w:t>3</w:t>
                    </w:r>
                    <w: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pPr>
    <w:r>
      <w:rPr>
        <w:sz w:val="18"/>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8" name="文本框 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8"/>
                          </w:pPr>
                          <w:r>
                            <w:fldChar w:fldCharType="begin"/>
                          </w:r>
                          <w:r>
                            <w:instrText xml:space="preserve"> PAGE  \* MERGEFORMAT </w:instrText>
                          </w:r>
                          <w:r>
                            <w:fldChar w:fldCharType="separate"/>
                          </w:r>
                          <w:r>
                            <w:t>4</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MeXtc4xAgAAYQ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DHl7XOMQIAAGEEAAAOAAAAAAAAAAEAIAAAAB8BAABkcnMvZTJvRG9jLnhtbFBLBQYA&#10;AAAABgAGAFkBAADCBQAAAAA=&#10;">
              <v:fill on="f" focussize="0,0"/>
              <v:stroke on="f" weight="0.5pt"/>
              <v:imagedata o:title=""/>
              <o:lock v:ext="edit" aspectratio="f"/>
              <v:textbox inset="0mm,0mm,0mm,0mm" style="mso-fit-shape-to-text:t;">
                <w:txbxContent>
                  <w:p>
                    <w:pPr>
                      <w:pStyle w:val="8"/>
                    </w:pPr>
                    <w:r>
                      <w:fldChar w:fldCharType="begin"/>
                    </w:r>
                    <w:r>
                      <w:instrText xml:space="preserve"> PAGE  \* MERGEFORMAT </w:instrText>
                    </w:r>
                    <w:r>
                      <w:fldChar w:fldCharType="separate"/>
                    </w:r>
                    <w:r>
                      <w:t>4</w:t>
                    </w:r>
                    <w:r>
                      <w:fldChar w:fldCharType="end"/>
                    </w: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rPr>
        <w:rFonts w:hint="default" w:eastAsiaTheme="minorEastAsia"/>
        <w:lang w:val="en-US" w:eastAsia="zh-CN"/>
      </w:rPr>
    </w:pPr>
    <w:r>
      <w:rPr>
        <w:sz w:val="18"/>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9" name="文本框 9"/>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8"/>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ApUg9DICAABhBAAADgAAAAAAAAABACAAAAAfAQAAZHJzL2Uyb0RvYy54bWxQSwUG&#10;AAAAAAYABgBZAQAAwwUAAAAA&#10;">
              <v:fill on="f" focussize="0,0"/>
              <v:stroke on="f" weight="0.5pt"/>
              <v:imagedata o:title=""/>
              <o:lock v:ext="edit" aspectratio="f"/>
              <v:textbox inset="0mm,0mm,0mm,0mm" style="mso-fit-shape-to-text:t;">
                <w:txbxContent>
                  <w:p>
                    <w:pPr>
                      <w:pStyle w:val="8"/>
                    </w:pPr>
                    <w:r>
                      <w:fldChar w:fldCharType="begin"/>
                    </w:r>
                    <w:r>
                      <w:instrText xml:space="preserve"> PAGE  \* MERGEFORMAT </w:instrText>
                    </w:r>
                    <w:r>
                      <w:fldChar w:fldCharType="separate"/>
                    </w:r>
                    <w:r>
                      <w:t>1</w:t>
                    </w:r>
                    <w: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jc w:val="center"/>
      <w:rPr>
        <w:rFonts w:hint="eastAsia"/>
        <w:b w:val="0"/>
        <w:bCs/>
        <w:color w:val="000000" w:themeColor="text1"/>
        <w:sz w:val="13"/>
        <w:szCs w:val="13"/>
        <w:lang w:val="en-US" w:eastAsia="zh-CN"/>
        <w14:glow w14:rad="0">
          <w14:srgbClr w14:val="000000"/>
        </w14:glow>
        <w14:shadow w14:blurRad="38100" w14:dist="19050" w14:dir="2700000" w14:sx="100000" w14:sy="100000" w14:kx="0" w14:ky="0" w14:algn="tl">
          <w14:schemeClr w14:val="dk1">
            <w14:alpha w14:val="60000"/>
          </w14:schemeClr>
        </w14:shadow>
        <w14:reflection w14:blurRad="0" w14:stA="0" w14:stPos="0" w14:endA="0" w14:endPos="0" w14:dist="0" w14:dir="0" w14:fadeDir="0" w14:sx="0" w14:sy="0" w14:kx="0" w14:ky="0" w14:algn="none"/>
        <w14:textFill>
          <w14:solidFill>
            <w14:schemeClr w14:val="tx1"/>
          </w14:solidFill>
        </w14:textFill>
        <w14:props3d w14:extrusionH="0" w14:contourW="0" w14:prstMaterial="clear"/>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jc w:val="center"/>
      <w:rPr>
        <w:rFonts w:hint="eastAsia"/>
        <w:b/>
        <w:bCs w:val="0"/>
        <w:color w:val="000000" w:themeColor="text1"/>
        <w:sz w:val="13"/>
        <w:szCs w:val="13"/>
        <w:lang w:val="en-US" w:eastAsia="zh-CN"/>
        <w14:glow w14:rad="0">
          <w14:srgbClr w14:val="000000"/>
        </w14:glow>
        <w14:shadow w14:blurRad="38100" w14:dist="19050" w14:dir="2700000" w14:sx="100000" w14:sy="100000" w14:kx="0" w14:ky="0" w14:algn="tl">
          <w14:schemeClr w14:val="dk1">
            <w14:alpha w14:val="60000"/>
          </w14:schemeClr>
        </w14:shadow>
        <w14:reflection w14:blurRad="0" w14:stA="0" w14:stPos="0" w14:endA="0" w14:endPos="0" w14:dist="0" w14:dir="0" w14:fadeDir="0" w14:sx="0" w14:sy="0" w14:kx="0" w14:ky="0" w14:algn="none"/>
        <w14:textFill>
          <w14:solidFill>
            <w14:schemeClr w14:val="tx1"/>
          </w14:solidFill>
        </w14:textFill>
        <w14:props3d w14:extrusionH="0" w14:contourW="0" w14:prstMaterial="clear"/>
      </w:rPr>
    </w:pPr>
    <w:r>
      <w:rPr>
        <w:rFonts w:hint="eastAsia"/>
        <w:b/>
        <w:bCs w:val="0"/>
        <w:color w:val="000000" w:themeColor="text1"/>
        <w:sz w:val="13"/>
        <w:szCs w:val="13"/>
        <w:lang w:val="en-US" w:eastAsia="zh-CN"/>
        <w14:glow w14:rad="0">
          <w14:srgbClr w14:val="000000"/>
        </w14:glow>
        <w14:shadow w14:blurRad="38100" w14:dist="19050" w14:dir="2700000" w14:sx="100000" w14:sy="100000" w14:kx="0" w14:ky="0" w14:algn="tl">
          <w14:schemeClr w14:val="dk1">
            <w14:alpha w14:val="60000"/>
          </w14:schemeClr>
        </w14:shadow>
        <w14:reflection w14:blurRad="0" w14:stA="0" w14:stPos="0" w14:endA="0" w14:endPos="0" w14:dist="0" w14:dir="0" w14:fadeDir="0" w14:sx="0" w14:sy="0" w14:kx="0" w14:ky="0" w14:algn="none"/>
        <w14:textFill>
          <w14:solidFill>
            <w14:schemeClr w14:val="tx1"/>
          </w14:solidFill>
        </w14:textFill>
        <w14:props3d w14:extrusionH="0" w14:contourW="0" w14:prstMaterial="clear"/>
      </w:rPr>
      <w:t>2021-2027中国木工砂光机市场现状及未来发展趋势</w:t>
    </w:r>
  </w:p>
  <w:p>
    <w:pPr>
      <w:pStyle w:val="9"/>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jc w:val="center"/>
      <w:rPr>
        <w:rFonts w:hint="eastAsia"/>
        <w:b w:val="0"/>
        <w:bCs/>
        <w:color w:val="000000" w:themeColor="text1"/>
        <w:sz w:val="13"/>
        <w:szCs w:val="13"/>
        <w:lang w:val="en-US" w:eastAsia="zh-CN"/>
        <w14:glow w14:rad="0">
          <w14:srgbClr w14:val="000000"/>
        </w14:glow>
        <w14:shadow w14:blurRad="38100" w14:dist="19050" w14:dir="2700000" w14:sx="100000" w14:sy="100000" w14:kx="0" w14:ky="0" w14:algn="tl">
          <w14:schemeClr w14:val="dk1">
            <w14:alpha w14:val="60000"/>
          </w14:schemeClr>
        </w14:shadow>
        <w14:reflection w14:blurRad="0" w14:stA="0" w14:stPos="0" w14:endA="0" w14:endPos="0" w14:dist="0" w14:dir="0" w14:fadeDir="0" w14:sx="0" w14:sy="0" w14:kx="0" w14:ky="0" w14:algn="none"/>
        <w14:textFill>
          <w14:solidFill>
            <w14:schemeClr w14:val="tx1"/>
          </w14:solidFill>
        </w14:textFill>
        <w14:props3d w14:extrusionH="0" w14:contourW="0" w14:prstMaterial="clear"/>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4C56ADD"/>
    <w:multiLevelType w:val="singleLevel"/>
    <w:tmpl w:val="94C56ADD"/>
    <w:lvl w:ilvl="0" w:tentative="0">
      <w:start w:val="1"/>
      <w:numFmt w:val="bullet"/>
      <w:lvlText w:val=""/>
      <w:lvlJc w:val="left"/>
      <w:pPr>
        <w:ind w:left="420" w:hanging="420"/>
      </w:pPr>
      <w:rPr>
        <w:rFonts w:hint="default" w:ascii="Wingdings" w:hAnsi="Wingdings"/>
      </w:rPr>
    </w:lvl>
  </w:abstractNum>
  <w:abstractNum w:abstractNumId="1">
    <w:nsid w:val="125F0C85"/>
    <w:multiLevelType w:val="multilevel"/>
    <w:tmpl w:val="125F0C85"/>
    <w:lvl w:ilvl="0" w:tentative="0">
      <w:start w:val="1"/>
      <w:numFmt w:val="decimal"/>
      <w:pStyle w:val="15"/>
      <w:suff w:val="nothing"/>
      <w:lvlText w:val="图 %1："/>
      <w:lvlJc w:val="left"/>
      <w:pPr>
        <w:ind w:left="0" w:firstLine="0"/>
      </w:pPr>
      <w:rPr>
        <w:rFonts w:hint="default" w:ascii="Times New Roman" w:hAnsi="Times New Roman" w:eastAsia="宋体"/>
        <w:b/>
        <w:i w:val="0"/>
        <w:color w:val="FFA300"/>
        <w:sz w:val="24"/>
      </w:rPr>
    </w:lvl>
    <w:lvl w:ilvl="1" w:tentative="0">
      <w:start w:val="1"/>
      <w:numFmt w:val="lowerLetter"/>
      <w:lvlText w:val="%2)"/>
      <w:lvlJc w:val="left"/>
      <w:pPr>
        <w:ind w:left="840" w:hanging="420"/>
      </w:pPr>
      <w:rPr>
        <w:rFonts w:hint="eastAsia"/>
      </w:rPr>
    </w:lvl>
    <w:lvl w:ilvl="2" w:tentative="0">
      <w:start w:val="1"/>
      <w:numFmt w:val="lowerRoman"/>
      <w:lvlText w:val="%3."/>
      <w:lvlJc w:val="right"/>
      <w:pPr>
        <w:ind w:left="1260" w:hanging="420"/>
      </w:pPr>
      <w:rPr>
        <w:rFonts w:hint="eastAsia"/>
      </w:rPr>
    </w:lvl>
    <w:lvl w:ilvl="3" w:tentative="0">
      <w:start w:val="1"/>
      <w:numFmt w:val="decimal"/>
      <w:lvlText w:val="%4."/>
      <w:lvlJc w:val="left"/>
      <w:pPr>
        <w:ind w:left="1680" w:hanging="420"/>
      </w:pPr>
      <w:rPr>
        <w:rFonts w:hint="eastAsia"/>
      </w:rPr>
    </w:lvl>
    <w:lvl w:ilvl="4" w:tentative="0">
      <w:start w:val="1"/>
      <w:numFmt w:val="lowerLetter"/>
      <w:lvlText w:val="%5)"/>
      <w:lvlJc w:val="left"/>
      <w:pPr>
        <w:ind w:left="2100" w:hanging="420"/>
      </w:pPr>
      <w:rPr>
        <w:rFonts w:hint="eastAsia"/>
      </w:rPr>
    </w:lvl>
    <w:lvl w:ilvl="5" w:tentative="0">
      <w:start w:val="1"/>
      <w:numFmt w:val="lowerRoman"/>
      <w:lvlText w:val="%6."/>
      <w:lvlJc w:val="right"/>
      <w:pPr>
        <w:ind w:left="2520" w:hanging="420"/>
      </w:pPr>
      <w:rPr>
        <w:rFonts w:hint="eastAsia"/>
      </w:rPr>
    </w:lvl>
    <w:lvl w:ilvl="6" w:tentative="0">
      <w:start w:val="1"/>
      <w:numFmt w:val="decimal"/>
      <w:lvlText w:val="%7."/>
      <w:lvlJc w:val="left"/>
      <w:pPr>
        <w:ind w:left="2940" w:hanging="420"/>
      </w:pPr>
      <w:rPr>
        <w:rFonts w:hint="eastAsia"/>
      </w:rPr>
    </w:lvl>
    <w:lvl w:ilvl="7" w:tentative="0">
      <w:start w:val="1"/>
      <w:numFmt w:val="lowerLetter"/>
      <w:lvlText w:val="%8)"/>
      <w:lvlJc w:val="left"/>
      <w:pPr>
        <w:ind w:left="3360" w:hanging="420"/>
      </w:pPr>
      <w:rPr>
        <w:rFonts w:hint="eastAsia"/>
      </w:rPr>
    </w:lvl>
    <w:lvl w:ilvl="8" w:tentative="0">
      <w:start w:val="1"/>
      <w:numFmt w:val="lowerRoman"/>
      <w:lvlText w:val="%9."/>
      <w:lvlJc w:val="right"/>
      <w:pPr>
        <w:ind w:left="3780" w:hanging="420"/>
      </w:pPr>
      <w:rPr>
        <w:rFonts w:hint="eastAsia"/>
      </w:rPr>
    </w:lvl>
  </w:abstractNum>
  <w:abstractNum w:abstractNumId="2">
    <w:nsid w:val="192385DC"/>
    <w:multiLevelType w:val="singleLevel"/>
    <w:tmpl w:val="192385DC"/>
    <w:lvl w:ilvl="0" w:tentative="0">
      <w:start w:val="1"/>
      <w:numFmt w:val="bullet"/>
      <w:lvlText w:val=""/>
      <w:lvlJc w:val="left"/>
      <w:pPr>
        <w:ind w:left="420" w:hanging="420"/>
      </w:pPr>
      <w:rPr>
        <w:rFonts w:hint="default" w:ascii="Wingdings" w:hAnsi="Wingdings"/>
      </w:rPr>
    </w:lvl>
  </w:abstractNum>
  <w:abstractNum w:abstractNumId="3">
    <w:nsid w:val="4A07A23C"/>
    <w:multiLevelType w:val="singleLevel"/>
    <w:tmpl w:val="4A07A23C"/>
    <w:lvl w:ilvl="0" w:tentative="0">
      <w:start w:val="1"/>
      <w:numFmt w:val="bullet"/>
      <w:lvlText w:val=""/>
      <w:lvlJc w:val="left"/>
      <w:pPr>
        <w:ind w:left="420" w:hanging="420"/>
      </w:pPr>
      <w:rPr>
        <w:rFonts w:hint="default" w:ascii="Wingdings" w:hAnsi="Wingdings"/>
      </w:rPr>
    </w:lvl>
  </w:abstractNum>
  <w:num w:numId="1">
    <w:abstractNumId w:val="1"/>
  </w:num>
  <w:num w:numId="2">
    <w:abstractNumId w:val="2"/>
  </w:num>
  <w:num w:numId="3">
    <w:abstractNumId w:val="3"/>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TA5ZDQ3NWE4ZjMxYjI3YzM5ZGFlMGQxODk1NDA3MmIifQ=="/>
  </w:docVars>
  <w:rsids>
    <w:rsidRoot w:val="27810953"/>
    <w:rsid w:val="00191ADC"/>
    <w:rsid w:val="001F6C64"/>
    <w:rsid w:val="00411B16"/>
    <w:rsid w:val="005F39BB"/>
    <w:rsid w:val="00975CCE"/>
    <w:rsid w:val="00BE39A7"/>
    <w:rsid w:val="00E242C9"/>
    <w:rsid w:val="010871D6"/>
    <w:rsid w:val="012B01CE"/>
    <w:rsid w:val="016A0DAC"/>
    <w:rsid w:val="01A010BD"/>
    <w:rsid w:val="01CF1029"/>
    <w:rsid w:val="01F05373"/>
    <w:rsid w:val="02000D46"/>
    <w:rsid w:val="020822FA"/>
    <w:rsid w:val="02233824"/>
    <w:rsid w:val="023C67AD"/>
    <w:rsid w:val="02795ACC"/>
    <w:rsid w:val="02C5294D"/>
    <w:rsid w:val="02C72C76"/>
    <w:rsid w:val="02CD0BC3"/>
    <w:rsid w:val="02D958E4"/>
    <w:rsid w:val="02DB5E00"/>
    <w:rsid w:val="03117BB8"/>
    <w:rsid w:val="033061EE"/>
    <w:rsid w:val="0358001D"/>
    <w:rsid w:val="0379240A"/>
    <w:rsid w:val="03C75EB2"/>
    <w:rsid w:val="03EE78D5"/>
    <w:rsid w:val="03FF21FB"/>
    <w:rsid w:val="042E3107"/>
    <w:rsid w:val="045952E1"/>
    <w:rsid w:val="048E542B"/>
    <w:rsid w:val="04A1435A"/>
    <w:rsid w:val="04CC2386"/>
    <w:rsid w:val="04E548D9"/>
    <w:rsid w:val="054E2574"/>
    <w:rsid w:val="058C749F"/>
    <w:rsid w:val="059C18BA"/>
    <w:rsid w:val="05CE1427"/>
    <w:rsid w:val="05D94CDE"/>
    <w:rsid w:val="061A1C9A"/>
    <w:rsid w:val="062C2B11"/>
    <w:rsid w:val="06380251"/>
    <w:rsid w:val="06476133"/>
    <w:rsid w:val="06A12D7A"/>
    <w:rsid w:val="06B064AD"/>
    <w:rsid w:val="06E11A9E"/>
    <w:rsid w:val="07025E2D"/>
    <w:rsid w:val="07190BE4"/>
    <w:rsid w:val="073133BC"/>
    <w:rsid w:val="07893294"/>
    <w:rsid w:val="078D0F73"/>
    <w:rsid w:val="07A16BE7"/>
    <w:rsid w:val="07C75902"/>
    <w:rsid w:val="07D50919"/>
    <w:rsid w:val="07DC396C"/>
    <w:rsid w:val="08005A0C"/>
    <w:rsid w:val="081417C8"/>
    <w:rsid w:val="08187970"/>
    <w:rsid w:val="083727C0"/>
    <w:rsid w:val="083E2D37"/>
    <w:rsid w:val="087475CF"/>
    <w:rsid w:val="08756BBF"/>
    <w:rsid w:val="088A1C5D"/>
    <w:rsid w:val="08963B61"/>
    <w:rsid w:val="08A40D88"/>
    <w:rsid w:val="08D02BA5"/>
    <w:rsid w:val="08F32B3C"/>
    <w:rsid w:val="08FF1C62"/>
    <w:rsid w:val="09602A9B"/>
    <w:rsid w:val="096E17BA"/>
    <w:rsid w:val="09A4426F"/>
    <w:rsid w:val="0A025C02"/>
    <w:rsid w:val="0ABC216B"/>
    <w:rsid w:val="0AEE0549"/>
    <w:rsid w:val="0B3501C0"/>
    <w:rsid w:val="0B591C3C"/>
    <w:rsid w:val="0B59335D"/>
    <w:rsid w:val="0B7D1C15"/>
    <w:rsid w:val="0BA47E4A"/>
    <w:rsid w:val="0BED626F"/>
    <w:rsid w:val="0BF26CA6"/>
    <w:rsid w:val="0C14740B"/>
    <w:rsid w:val="0C3B0317"/>
    <w:rsid w:val="0C47064F"/>
    <w:rsid w:val="0C652F34"/>
    <w:rsid w:val="0C8E6B69"/>
    <w:rsid w:val="0CC00104"/>
    <w:rsid w:val="0CE877EB"/>
    <w:rsid w:val="0D0441AD"/>
    <w:rsid w:val="0D3B603D"/>
    <w:rsid w:val="0D464C17"/>
    <w:rsid w:val="0D5B23CC"/>
    <w:rsid w:val="0D9267A4"/>
    <w:rsid w:val="0DA25D64"/>
    <w:rsid w:val="0DAC4718"/>
    <w:rsid w:val="0DBA2331"/>
    <w:rsid w:val="0DBE022F"/>
    <w:rsid w:val="0DF82E21"/>
    <w:rsid w:val="0E0E041F"/>
    <w:rsid w:val="0E196FF9"/>
    <w:rsid w:val="0E3219BC"/>
    <w:rsid w:val="0E3A1EAA"/>
    <w:rsid w:val="0E7117D9"/>
    <w:rsid w:val="0E772D84"/>
    <w:rsid w:val="0E885E0B"/>
    <w:rsid w:val="0EBF0E0C"/>
    <w:rsid w:val="0EC67E17"/>
    <w:rsid w:val="0EEF152E"/>
    <w:rsid w:val="0F112DA0"/>
    <w:rsid w:val="0F176BD8"/>
    <w:rsid w:val="0F2E52E8"/>
    <w:rsid w:val="0F4D35E7"/>
    <w:rsid w:val="0F7B0CCA"/>
    <w:rsid w:val="0F9F5F50"/>
    <w:rsid w:val="0FCC4CD7"/>
    <w:rsid w:val="0FF67EC9"/>
    <w:rsid w:val="1000511C"/>
    <w:rsid w:val="10536B31"/>
    <w:rsid w:val="10E7526A"/>
    <w:rsid w:val="10E82B58"/>
    <w:rsid w:val="1123010F"/>
    <w:rsid w:val="114C551F"/>
    <w:rsid w:val="11594BC4"/>
    <w:rsid w:val="11856E21"/>
    <w:rsid w:val="11A8095E"/>
    <w:rsid w:val="11B40DFE"/>
    <w:rsid w:val="11F56B6F"/>
    <w:rsid w:val="123956DC"/>
    <w:rsid w:val="12497B39"/>
    <w:rsid w:val="124A1110"/>
    <w:rsid w:val="125B4710"/>
    <w:rsid w:val="12643B1E"/>
    <w:rsid w:val="12852609"/>
    <w:rsid w:val="12C16087"/>
    <w:rsid w:val="12FD532F"/>
    <w:rsid w:val="1303604D"/>
    <w:rsid w:val="13423986"/>
    <w:rsid w:val="13775F92"/>
    <w:rsid w:val="13B924F4"/>
    <w:rsid w:val="145B7611"/>
    <w:rsid w:val="14C46537"/>
    <w:rsid w:val="15443F80"/>
    <w:rsid w:val="156C5ADE"/>
    <w:rsid w:val="15EE4F48"/>
    <w:rsid w:val="15FA1C09"/>
    <w:rsid w:val="15FA677C"/>
    <w:rsid w:val="160A2E87"/>
    <w:rsid w:val="161729A1"/>
    <w:rsid w:val="162D30AD"/>
    <w:rsid w:val="163D3128"/>
    <w:rsid w:val="16531E7D"/>
    <w:rsid w:val="167D5E99"/>
    <w:rsid w:val="16EE555F"/>
    <w:rsid w:val="17763889"/>
    <w:rsid w:val="17822ED9"/>
    <w:rsid w:val="17930970"/>
    <w:rsid w:val="17D5308A"/>
    <w:rsid w:val="17EA62CF"/>
    <w:rsid w:val="17F75DE9"/>
    <w:rsid w:val="1801040B"/>
    <w:rsid w:val="18407BE4"/>
    <w:rsid w:val="186A2BAC"/>
    <w:rsid w:val="189A0C0A"/>
    <w:rsid w:val="18AC3ACE"/>
    <w:rsid w:val="190A0F64"/>
    <w:rsid w:val="198F6D99"/>
    <w:rsid w:val="19FA2A1C"/>
    <w:rsid w:val="1A054CE0"/>
    <w:rsid w:val="1A295843"/>
    <w:rsid w:val="1A57535F"/>
    <w:rsid w:val="1B046CBF"/>
    <w:rsid w:val="1B390CC2"/>
    <w:rsid w:val="1B3E3C04"/>
    <w:rsid w:val="1B417381"/>
    <w:rsid w:val="1B584E76"/>
    <w:rsid w:val="1B9719A1"/>
    <w:rsid w:val="1BC62475"/>
    <w:rsid w:val="1BCA14DE"/>
    <w:rsid w:val="1BCB48C1"/>
    <w:rsid w:val="1C2753DD"/>
    <w:rsid w:val="1C3703BA"/>
    <w:rsid w:val="1C944533"/>
    <w:rsid w:val="1C9827B8"/>
    <w:rsid w:val="1C983E78"/>
    <w:rsid w:val="1CEB02ED"/>
    <w:rsid w:val="1CF678A3"/>
    <w:rsid w:val="1D404498"/>
    <w:rsid w:val="1D511365"/>
    <w:rsid w:val="1D5A3ACC"/>
    <w:rsid w:val="1D655E78"/>
    <w:rsid w:val="1DB04050"/>
    <w:rsid w:val="1DB94ECB"/>
    <w:rsid w:val="1DD035E1"/>
    <w:rsid w:val="1E03702C"/>
    <w:rsid w:val="1E1332F5"/>
    <w:rsid w:val="1EA73B4D"/>
    <w:rsid w:val="1EBD070D"/>
    <w:rsid w:val="1ED57A29"/>
    <w:rsid w:val="1EEF1F39"/>
    <w:rsid w:val="1F280485"/>
    <w:rsid w:val="1F30178C"/>
    <w:rsid w:val="1F404977"/>
    <w:rsid w:val="1F527D40"/>
    <w:rsid w:val="1F7E3685"/>
    <w:rsid w:val="1F863D75"/>
    <w:rsid w:val="1F957D33"/>
    <w:rsid w:val="1FB73434"/>
    <w:rsid w:val="1FFC653F"/>
    <w:rsid w:val="202C6DE7"/>
    <w:rsid w:val="20325965"/>
    <w:rsid w:val="20BE504F"/>
    <w:rsid w:val="20D6511C"/>
    <w:rsid w:val="21071965"/>
    <w:rsid w:val="213D6CCA"/>
    <w:rsid w:val="213E34FF"/>
    <w:rsid w:val="21A97C58"/>
    <w:rsid w:val="21BB20C1"/>
    <w:rsid w:val="21F85F30"/>
    <w:rsid w:val="21FF290B"/>
    <w:rsid w:val="223D2361"/>
    <w:rsid w:val="228F2A05"/>
    <w:rsid w:val="22BF02C5"/>
    <w:rsid w:val="22C80936"/>
    <w:rsid w:val="23541AF4"/>
    <w:rsid w:val="236E5CF9"/>
    <w:rsid w:val="23753192"/>
    <w:rsid w:val="23897D5A"/>
    <w:rsid w:val="23BF0227"/>
    <w:rsid w:val="23D63CD1"/>
    <w:rsid w:val="23E1027D"/>
    <w:rsid w:val="23EA715A"/>
    <w:rsid w:val="243B597E"/>
    <w:rsid w:val="24462F27"/>
    <w:rsid w:val="244E2598"/>
    <w:rsid w:val="24712EC3"/>
    <w:rsid w:val="24D25416"/>
    <w:rsid w:val="24D77B29"/>
    <w:rsid w:val="24E605D6"/>
    <w:rsid w:val="24F02B7D"/>
    <w:rsid w:val="253F63C4"/>
    <w:rsid w:val="25706E2F"/>
    <w:rsid w:val="25780DFE"/>
    <w:rsid w:val="258272FE"/>
    <w:rsid w:val="25F86847"/>
    <w:rsid w:val="26004F05"/>
    <w:rsid w:val="26005C42"/>
    <w:rsid w:val="261C0D20"/>
    <w:rsid w:val="2627714B"/>
    <w:rsid w:val="263C0AC6"/>
    <w:rsid w:val="26563C73"/>
    <w:rsid w:val="2694670A"/>
    <w:rsid w:val="26B02A3C"/>
    <w:rsid w:val="27325ED1"/>
    <w:rsid w:val="27555FB7"/>
    <w:rsid w:val="27763E6F"/>
    <w:rsid w:val="27810953"/>
    <w:rsid w:val="279F584C"/>
    <w:rsid w:val="27AC5B02"/>
    <w:rsid w:val="27B4119A"/>
    <w:rsid w:val="27E14678"/>
    <w:rsid w:val="27F03DC2"/>
    <w:rsid w:val="27F83433"/>
    <w:rsid w:val="28085B33"/>
    <w:rsid w:val="281F7575"/>
    <w:rsid w:val="282D47F6"/>
    <w:rsid w:val="28470748"/>
    <w:rsid w:val="285252EB"/>
    <w:rsid w:val="28800B23"/>
    <w:rsid w:val="28AB0802"/>
    <w:rsid w:val="28DB7F14"/>
    <w:rsid w:val="28E4471A"/>
    <w:rsid w:val="28E721F3"/>
    <w:rsid w:val="290370AF"/>
    <w:rsid w:val="29080A6B"/>
    <w:rsid w:val="298034BC"/>
    <w:rsid w:val="298B3B92"/>
    <w:rsid w:val="2A3F5E73"/>
    <w:rsid w:val="2A731D2F"/>
    <w:rsid w:val="2A951454"/>
    <w:rsid w:val="2AB74F6E"/>
    <w:rsid w:val="2B1A6913"/>
    <w:rsid w:val="2B342177"/>
    <w:rsid w:val="2B506222"/>
    <w:rsid w:val="2B795D02"/>
    <w:rsid w:val="2BF17357"/>
    <w:rsid w:val="2C2B4D57"/>
    <w:rsid w:val="2C3027C9"/>
    <w:rsid w:val="2C377D1A"/>
    <w:rsid w:val="2C395116"/>
    <w:rsid w:val="2C580FBB"/>
    <w:rsid w:val="2CCD691A"/>
    <w:rsid w:val="2CDF21B9"/>
    <w:rsid w:val="2D865F64"/>
    <w:rsid w:val="2DCC64F9"/>
    <w:rsid w:val="2DD81361"/>
    <w:rsid w:val="2DDE3C5E"/>
    <w:rsid w:val="2DE136FB"/>
    <w:rsid w:val="2E0004FC"/>
    <w:rsid w:val="2E2E2A74"/>
    <w:rsid w:val="2E3E2B28"/>
    <w:rsid w:val="2E4B02B0"/>
    <w:rsid w:val="2E5F7316"/>
    <w:rsid w:val="2E67334A"/>
    <w:rsid w:val="2E8B49D1"/>
    <w:rsid w:val="2E8F3019"/>
    <w:rsid w:val="2E9A087F"/>
    <w:rsid w:val="2EC75BBC"/>
    <w:rsid w:val="2EFC27A2"/>
    <w:rsid w:val="2F331C81"/>
    <w:rsid w:val="2F8A69C9"/>
    <w:rsid w:val="2FB85452"/>
    <w:rsid w:val="2FF53D49"/>
    <w:rsid w:val="301C26B5"/>
    <w:rsid w:val="303D706D"/>
    <w:rsid w:val="304405CE"/>
    <w:rsid w:val="3062603A"/>
    <w:rsid w:val="30BE2F37"/>
    <w:rsid w:val="30C6270B"/>
    <w:rsid w:val="31190F79"/>
    <w:rsid w:val="31396A7E"/>
    <w:rsid w:val="314C7B56"/>
    <w:rsid w:val="31516607"/>
    <w:rsid w:val="31636135"/>
    <w:rsid w:val="31705FC1"/>
    <w:rsid w:val="318813ED"/>
    <w:rsid w:val="31A1502C"/>
    <w:rsid w:val="31D84403"/>
    <w:rsid w:val="31DC3D01"/>
    <w:rsid w:val="32347FFB"/>
    <w:rsid w:val="324B48CF"/>
    <w:rsid w:val="327828FD"/>
    <w:rsid w:val="32976AC5"/>
    <w:rsid w:val="32A51FD4"/>
    <w:rsid w:val="32AB06D3"/>
    <w:rsid w:val="32B66D20"/>
    <w:rsid w:val="32C83163"/>
    <w:rsid w:val="32DB706C"/>
    <w:rsid w:val="32EA46B0"/>
    <w:rsid w:val="330E70A1"/>
    <w:rsid w:val="33106F05"/>
    <w:rsid w:val="33150A95"/>
    <w:rsid w:val="331E66B3"/>
    <w:rsid w:val="334E378E"/>
    <w:rsid w:val="33765506"/>
    <w:rsid w:val="33CE634E"/>
    <w:rsid w:val="33D62C09"/>
    <w:rsid w:val="33DF1EC1"/>
    <w:rsid w:val="33F82EC5"/>
    <w:rsid w:val="342909D3"/>
    <w:rsid w:val="342D300F"/>
    <w:rsid w:val="34577E56"/>
    <w:rsid w:val="350E221C"/>
    <w:rsid w:val="3548749A"/>
    <w:rsid w:val="354F7E75"/>
    <w:rsid w:val="355F18D8"/>
    <w:rsid w:val="3576225A"/>
    <w:rsid w:val="357D4C91"/>
    <w:rsid w:val="357D6508"/>
    <w:rsid w:val="359D3C2E"/>
    <w:rsid w:val="35B42CA8"/>
    <w:rsid w:val="35C35020"/>
    <w:rsid w:val="35EA3AA9"/>
    <w:rsid w:val="3630134C"/>
    <w:rsid w:val="366156C8"/>
    <w:rsid w:val="36B733EB"/>
    <w:rsid w:val="36FC253E"/>
    <w:rsid w:val="36FE36D2"/>
    <w:rsid w:val="37631076"/>
    <w:rsid w:val="377C7721"/>
    <w:rsid w:val="37E07FE0"/>
    <w:rsid w:val="37E43728"/>
    <w:rsid w:val="38091303"/>
    <w:rsid w:val="381B6F6B"/>
    <w:rsid w:val="38534F76"/>
    <w:rsid w:val="3860725C"/>
    <w:rsid w:val="38845537"/>
    <w:rsid w:val="38AF40C4"/>
    <w:rsid w:val="38F564A9"/>
    <w:rsid w:val="38FF763A"/>
    <w:rsid w:val="394717E0"/>
    <w:rsid w:val="39660AC8"/>
    <w:rsid w:val="39C42925"/>
    <w:rsid w:val="3A2A6DEC"/>
    <w:rsid w:val="3A3376C4"/>
    <w:rsid w:val="3A3974BB"/>
    <w:rsid w:val="3AEE3C22"/>
    <w:rsid w:val="3B1973B9"/>
    <w:rsid w:val="3B316DAA"/>
    <w:rsid w:val="3B351FFD"/>
    <w:rsid w:val="3B89556C"/>
    <w:rsid w:val="3BCC6963"/>
    <w:rsid w:val="3BE21090"/>
    <w:rsid w:val="3BEB65CE"/>
    <w:rsid w:val="3BF345A7"/>
    <w:rsid w:val="3C022D73"/>
    <w:rsid w:val="3C120DF0"/>
    <w:rsid w:val="3C22670C"/>
    <w:rsid w:val="3C3D0944"/>
    <w:rsid w:val="3C533C0B"/>
    <w:rsid w:val="3C9F06E6"/>
    <w:rsid w:val="3CA54D49"/>
    <w:rsid w:val="3CCD2DEC"/>
    <w:rsid w:val="3D1760A7"/>
    <w:rsid w:val="3D180F4C"/>
    <w:rsid w:val="3D1B53C1"/>
    <w:rsid w:val="3D6E5869"/>
    <w:rsid w:val="3D770AA6"/>
    <w:rsid w:val="3D7F7A0D"/>
    <w:rsid w:val="3DA458EB"/>
    <w:rsid w:val="3DEC75BC"/>
    <w:rsid w:val="3DF516BF"/>
    <w:rsid w:val="3E4A6662"/>
    <w:rsid w:val="3EBC02AD"/>
    <w:rsid w:val="3ECC1E3C"/>
    <w:rsid w:val="3EF94582"/>
    <w:rsid w:val="3F35732E"/>
    <w:rsid w:val="3F4D1A72"/>
    <w:rsid w:val="3F5C449B"/>
    <w:rsid w:val="3FBB1061"/>
    <w:rsid w:val="3FC60617"/>
    <w:rsid w:val="3FFB1F03"/>
    <w:rsid w:val="400E78B3"/>
    <w:rsid w:val="40167CB3"/>
    <w:rsid w:val="41190205"/>
    <w:rsid w:val="415C61A3"/>
    <w:rsid w:val="41744200"/>
    <w:rsid w:val="41DC5AA5"/>
    <w:rsid w:val="41FC1E34"/>
    <w:rsid w:val="4213610B"/>
    <w:rsid w:val="42573C6D"/>
    <w:rsid w:val="42784676"/>
    <w:rsid w:val="42B44D81"/>
    <w:rsid w:val="42F42DAF"/>
    <w:rsid w:val="42F86F51"/>
    <w:rsid w:val="43032966"/>
    <w:rsid w:val="43181CB1"/>
    <w:rsid w:val="432C1C95"/>
    <w:rsid w:val="435D1730"/>
    <w:rsid w:val="43F42645"/>
    <w:rsid w:val="44384A65"/>
    <w:rsid w:val="443C30D3"/>
    <w:rsid w:val="447A5B5E"/>
    <w:rsid w:val="44EC4E8C"/>
    <w:rsid w:val="452F3D84"/>
    <w:rsid w:val="45572B91"/>
    <w:rsid w:val="457512FA"/>
    <w:rsid w:val="45782878"/>
    <w:rsid w:val="45793884"/>
    <w:rsid w:val="45880BDF"/>
    <w:rsid w:val="45AA6E46"/>
    <w:rsid w:val="463041C7"/>
    <w:rsid w:val="46530F0B"/>
    <w:rsid w:val="46583405"/>
    <w:rsid w:val="466C16EF"/>
    <w:rsid w:val="46937E02"/>
    <w:rsid w:val="46951FED"/>
    <w:rsid w:val="46B053A1"/>
    <w:rsid w:val="46B463BA"/>
    <w:rsid w:val="46B64A65"/>
    <w:rsid w:val="46BA2548"/>
    <w:rsid w:val="478B3947"/>
    <w:rsid w:val="47AC7C93"/>
    <w:rsid w:val="47D305A4"/>
    <w:rsid w:val="47D34AAC"/>
    <w:rsid w:val="481650DC"/>
    <w:rsid w:val="48314ADF"/>
    <w:rsid w:val="484237C1"/>
    <w:rsid w:val="4864069E"/>
    <w:rsid w:val="48700D0D"/>
    <w:rsid w:val="48957799"/>
    <w:rsid w:val="48BA2EE9"/>
    <w:rsid w:val="48BB6C50"/>
    <w:rsid w:val="48CF1133"/>
    <w:rsid w:val="49776FAA"/>
    <w:rsid w:val="498F750F"/>
    <w:rsid w:val="4A2E7AAE"/>
    <w:rsid w:val="4A344158"/>
    <w:rsid w:val="4A3C7D8D"/>
    <w:rsid w:val="4ADF3C4D"/>
    <w:rsid w:val="4AE61753"/>
    <w:rsid w:val="4B15079E"/>
    <w:rsid w:val="4B582B13"/>
    <w:rsid w:val="4B8A5790"/>
    <w:rsid w:val="4B90047C"/>
    <w:rsid w:val="4B9B60E7"/>
    <w:rsid w:val="4BAF32D7"/>
    <w:rsid w:val="4C1B5BE1"/>
    <w:rsid w:val="4C23278F"/>
    <w:rsid w:val="4C8116CC"/>
    <w:rsid w:val="4C971715"/>
    <w:rsid w:val="4CB97E79"/>
    <w:rsid w:val="4CC14A01"/>
    <w:rsid w:val="4D0A0F0C"/>
    <w:rsid w:val="4D0D2958"/>
    <w:rsid w:val="4D3010BC"/>
    <w:rsid w:val="4D3A5285"/>
    <w:rsid w:val="4DA5062D"/>
    <w:rsid w:val="4DE65F00"/>
    <w:rsid w:val="4DEC0D51"/>
    <w:rsid w:val="4E252877"/>
    <w:rsid w:val="4E2E3530"/>
    <w:rsid w:val="4E5E0FC1"/>
    <w:rsid w:val="4E6D1663"/>
    <w:rsid w:val="4EAF015A"/>
    <w:rsid w:val="4EC32B5C"/>
    <w:rsid w:val="4ED40264"/>
    <w:rsid w:val="4EE839B3"/>
    <w:rsid w:val="4EF30EF4"/>
    <w:rsid w:val="4EFB0B66"/>
    <w:rsid w:val="4F99271D"/>
    <w:rsid w:val="508E0176"/>
    <w:rsid w:val="509E164C"/>
    <w:rsid w:val="50C31573"/>
    <w:rsid w:val="50E43172"/>
    <w:rsid w:val="510F2828"/>
    <w:rsid w:val="51201725"/>
    <w:rsid w:val="517A2018"/>
    <w:rsid w:val="51B55037"/>
    <w:rsid w:val="524601D9"/>
    <w:rsid w:val="5249683C"/>
    <w:rsid w:val="529472A2"/>
    <w:rsid w:val="529B5FAB"/>
    <w:rsid w:val="52E91C9B"/>
    <w:rsid w:val="52F566EB"/>
    <w:rsid w:val="532C022F"/>
    <w:rsid w:val="53465272"/>
    <w:rsid w:val="53526EAE"/>
    <w:rsid w:val="53835A62"/>
    <w:rsid w:val="5383742D"/>
    <w:rsid w:val="538D459B"/>
    <w:rsid w:val="53F80C41"/>
    <w:rsid w:val="540D20E2"/>
    <w:rsid w:val="54301FB8"/>
    <w:rsid w:val="54691B34"/>
    <w:rsid w:val="54B80855"/>
    <w:rsid w:val="54F54ACD"/>
    <w:rsid w:val="55361378"/>
    <w:rsid w:val="553C066D"/>
    <w:rsid w:val="555E75AF"/>
    <w:rsid w:val="55A31CC2"/>
    <w:rsid w:val="55BB4C08"/>
    <w:rsid w:val="55D772EF"/>
    <w:rsid w:val="55DD744A"/>
    <w:rsid w:val="55E31896"/>
    <w:rsid w:val="56056FB0"/>
    <w:rsid w:val="56306667"/>
    <w:rsid w:val="565C5774"/>
    <w:rsid w:val="565E26E5"/>
    <w:rsid w:val="56942611"/>
    <w:rsid w:val="569F53F4"/>
    <w:rsid w:val="56C11808"/>
    <w:rsid w:val="56F72C39"/>
    <w:rsid w:val="572721B4"/>
    <w:rsid w:val="5731610F"/>
    <w:rsid w:val="576D3571"/>
    <w:rsid w:val="578530FA"/>
    <w:rsid w:val="57921595"/>
    <w:rsid w:val="57E95AC6"/>
    <w:rsid w:val="57FC0C0C"/>
    <w:rsid w:val="580538A8"/>
    <w:rsid w:val="580615B7"/>
    <w:rsid w:val="581D1BFC"/>
    <w:rsid w:val="585B426A"/>
    <w:rsid w:val="58BC4D39"/>
    <w:rsid w:val="58E81F29"/>
    <w:rsid w:val="59074D90"/>
    <w:rsid w:val="59342CA6"/>
    <w:rsid w:val="5943558E"/>
    <w:rsid w:val="597B635D"/>
    <w:rsid w:val="59850F1B"/>
    <w:rsid w:val="59977E28"/>
    <w:rsid w:val="59C72015"/>
    <w:rsid w:val="5A504C3E"/>
    <w:rsid w:val="5A953722"/>
    <w:rsid w:val="5A9653EC"/>
    <w:rsid w:val="5AE52C20"/>
    <w:rsid w:val="5AF9642A"/>
    <w:rsid w:val="5B1365AB"/>
    <w:rsid w:val="5B6B39C6"/>
    <w:rsid w:val="5B7A7787"/>
    <w:rsid w:val="5BB6489E"/>
    <w:rsid w:val="5C027D15"/>
    <w:rsid w:val="5C862888"/>
    <w:rsid w:val="5CA208D6"/>
    <w:rsid w:val="5D076D01"/>
    <w:rsid w:val="5D1C2342"/>
    <w:rsid w:val="5D1E4863"/>
    <w:rsid w:val="5D43207A"/>
    <w:rsid w:val="5E4D6678"/>
    <w:rsid w:val="5E5E50E2"/>
    <w:rsid w:val="5E9479CE"/>
    <w:rsid w:val="5EBE2A2A"/>
    <w:rsid w:val="5F020E69"/>
    <w:rsid w:val="5F475654"/>
    <w:rsid w:val="5F9F7385"/>
    <w:rsid w:val="5FAC4EB0"/>
    <w:rsid w:val="5FB730B4"/>
    <w:rsid w:val="5FC50CC7"/>
    <w:rsid w:val="5FF7318B"/>
    <w:rsid w:val="60165144"/>
    <w:rsid w:val="603B1E9D"/>
    <w:rsid w:val="608D176B"/>
    <w:rsid w:val="61125017"/>
    <w:rsid w:val="611C48EB"/>
    <w:rsid w:val="61210567"/>
    <w:rsid w:val="613900F1"/>
    <w:rsid w:val="61422A3D"/>
    <w:rsid w:val="61783D55"/>
    <w:rsid w:val="61DA3DF0"/>
    <w:rsid w:val="62385E17"/>
    <w:rsid w:val="62466EFC"/>
    <w:rsid w:val="62637767"/>
    <w:rsid w:val="626453AC"/>
    <w:rsid w:val="62674344"/>
    <w:rsid w:val="628F657E"/>
    <w:rsid w:val="62A82D70"/>
    <w:rsid w:val="62AA476A"/>
    <w:rsid w:val="632E5E62"/>
    <w:rsid w:val="633F229F"/>
    <w:rsid w:val="6355038C"/>
    <w:rsid w:val="636A79F9"/>
    <w:rsid w:val="63C51E86"/>
    <w:rsid w:val="63E87788"/>
    <w:rsid w:val="642B5D8D"/>
    <w:rsid w:val="64542425"/>
    <w:rsid w:val="64772801"/>
    <w:rsid w:val="648773BE"/>
    <w:rsid w:val="64A53A5E"/>
    <w:rsid w:val="64B25195"/>
    <w:rsid w:val="653E0AD1"/>
    <w:rsid w:val="65725D92"/>
    <w:rsid w:val="65A933D3"/>
    <w:rsid w:val="65CE69B3"/>
    <w:rsid w:val="65DB6C69"/>
    <w:rsid w:val="660960EC"/>
    <w:rsid w:val="662D6C59"/>
    <w:rsid w:val="66460B4F"/>
    <w:rsid w:val="664C2BA5"/>
    <w:rsid w:val="66567ADA"/>
    <w:rsid w:val="669046A2"/>
    <w:rsid w:val="66AA2174"/>
    <w:rsid w:val="66D41112"/>
    <w:rsid w:val="66E0663D"/>
    <w:rsid w:val="66E57074"/>
    <w:rsid w:val="6709391F"/>
    <w:rsid w:val="672D6CEC"/>
    <w:rsid w:val="678A5FD1"/>
    <w:rsid w:val="67D75CA5"/>
    <w:rsid w:val="67F01ABC"/>
    <w:rsid w:val="680C3F36"/>
    <w:rsid w:val="682F3612"/>
    <w:rsid w:val="683A4772"/>
    <w:rsid w:val="68676D4D"/>
    <w:rsid w:val="68707187"/>
    <w:rsid w:val="68AB61CD"/>
    <w:rsid w:val="68F5216F"/>
    <w:rsid w:val="6905302D"/>
    <w:rsid w:val="69142915"/>
    <w:rsid w:val="69214762"/>
    <w:rsid w:val="693826BE"/>
    <w:rsid w:val="69D22919"/>
    <w:rsid w:val="69F75F04"/>
    <w:rsid w:val="6A614836"/>
    <w:rsid w:val="6AD77E99"/>
    <w:rsid w:val="6AEC077B"/>
    <w:rsid w:val="6AF36CF4"/>
    <w:rsid w:val="6B1104B4"/>
    <w:rsid w:val="6BB0400B"/>
    <w:rsid w:val="6BEB5B28"/>
    <w:rsid w:val="6C0A1FF2"/>
    <w:rsid w:val="6C0A7EB8"/>
    <w:rsid w:val="6CB73516"/>
    <w:rsid w:val="6CC32EEF"/>
    <w:rsid w:val="6CEB6BE5"/>
    <w:rsid w:val="6D3844E4"/>
    <w:rsid w:val="6D951E95"/>
    <w:rsid w:val="6DCC0B2E"/>
    <w:rsid w:val="6DD34E17"/>
    <w:rsid w:val="6DE84485"/>
    <w:rsid w:val="6E060561"/>
    <w:rsid w:val="6E133B3C"/>
    <w:rsid w:val="6E1D123B"/>
    <w:rsid w:val="6E2045A1"/>
    <w:rsid w:val="6E275A3E"/>
    <w:rsid w:val="6E654045"/>
    <w:rsid w:val="6EA2618B"/>
    <w:rsid w:val="6EED23E9"/>
    <w:rsid w:val="6EF55A8F"/>
    <w:rsid w:val="6F0772A4"/>
    <w:rsid w:val="6F093AAD"/>
    <w:rsid w:val="6F2A7532"/>
    <w:rsid w:val="6F4F630E"/>
    <w:rsid w:val="6F593392"/>
    <w:rsid w:val="6F5C19F5"/>
    <w:rsid w:val="6F5D5C83"/>
    <w:rsid w:val="6F5E251A"/>
    <w:rsid w:val="6F5E3DCA"/>
    <w:rsid w:val="6F60217E"/>
    <w:rsid w:val="6F672240"/>
    <w:rsid w:val="6F78778B"/>
    <w:rsid w:val="6FA772F4"/>
    <w:rsid w:val="6FDD36C9"/>
    <w:rsid w:val="6FFE4F46"/>
    <w:rsid w:val="70015FE3"/>
    <w:rsid w:val="701D3524"/>
    <w:rsid w:val="70A66764"/>
    <w:rsid w:val="70A874EA"/>
    <w:rsid w:val="70E13CE2"/>
    <w:rsid w:val="70E32B78"/>
    <w:rsid w:val="71317F26"/>
    <w:rsid w:val="71682B5F"/>
    <w:rsid w:val="71C61964"/>
    <w:rsid w:val="71C66A32"/>
    <w:rsid w:val="722F25DC"/>
    <w:rsid w:val="72561D49"/>
    <w:rsid w:val="726D0400"/>
    <w:rsid w:val="72FB4336"/>
    <w:rsid w:val="733A01AB"/>
    <w:rsid w:val="73717CF0"/>
    <w:rsid w:val="737B5A5E"/>
    <w:rsid w:val="738323FE"/>
    <w:rsid w:val="738A482E"/>
    <w:rsid w:val="73A53D4F"/>
    <w:rsid w:val="73BA4B95"/>
    <w:rsid w:val="73C45350"/>
    <w:rsid w:val="742C6D05"/>
    <w:rsid w:val="74666F63"/>
    <w:rsid w:val="7477729D"/>
    <w:rsid w:val="74A04972"/>
    <w:rsid w:val="74EB1D79"/>
    <w:rsid w:val="74FB5A83"/>
    <w:rsid w:val="757734FE"/>
    <w:rsid w:val="75B73EFB"/>
    <w:rsid w:val="75F35F0A"/>
    <w:rsid w:val="7627010D"/>
    <w:rsid w:val="764D1CB9"/>
    <w:rsid w:val="7693791C"/>
    <w:rsid w:val="76CA3328"/>
    <w:rsid w:val="76FD3932"/>
    <w:rsid w:val="77421ADF"/>
    <w:rsid w:val="778F2D61"/>
    <w:rsid w:val="77D2148E"/>
    <w:rsid w:val="77F36B38"/>
    <w:rsid w:val="780B717D"/>
    <w:rsid w:val="785904CD"/>
    <w:rsid w:val="788E2CE7"/>
    <w:rsid w:val="78940C22"/>
    <w:rsid w:val="78AD7761"/>
    <w:rsid w:val="79102D89"/>
    <w:rsid w:val="7926225A"/>
    <w:rsid w:val="7990533F"/>
    <w:rsid w:val="799E204D"/>
    <w:rsid w:val="79C3066B"/>
    <w:rsid w:val="79C351F8"/>
    <w:rsid w:val="79F6606B"/>
    <w:rsid w:val="7A145149"/>
    <w:rsid w:val="7A255E58"/>
    <w:rsid w:val="7A3049FE"/>
    <w:rsid w:val="7A4E4FF2"/>
    <w:rsid w:val="7A7F044F"/>
    <w:rsid w:val="7AA92200"/>
    <w:rsid w:val="7AB16DBD"/>
    <w:rsid w:val="7B1F385E"/>
    <w:rsid w:val="7BA96A48"/>
    <w:rsid w:val="7BC55C7D"/>
    <w:rsid w:val="7BD30E2C"/>
    <w:rsid w:val="7C1022A4"/>
    <w:rsid w:val="7C21515A"/>
    <w:rsid w:val="7C322B50"/>
    <w:rsid w:val="7C575AA2"/>
    <w:rsid w:val="7C8F2810"/>
    <w:rsid w:val="7C994482"/>
    <w:rsid w:val="7CAA0021"/>
    <w:rsid w:val="7CBA7632"/>
    <w:rsid w:val="7CCF5DBB"/>
    <w:rsid w:val="7CF17C98"/>
    <w:rsid w:val="7D355522"/>
    <w:rsid w:val="7D62742E"/>
    <w:rsid w:val="7D6C5DB1"/>
    <w:rsid w:val="7D8B001B"/>
    <w:rsid w:val="7DB5158B"/>
    <w:rsid w:val="7DCA5C98"/>
    <w:rsid w:val="7DD93832"/>
    <w:rsid w:val="7DFF0D42"/>
    <w:rsid w:val="7E352137"/>
    <w:rsid w:val="7E3D3AFE"/>
    <w:rsid w:val="7E415A65"/>
    <w:rsid w:val="7EDD3985"/>
    <w:rsid w:val="7EFC6A35"/>
    <w:rsid w:val="7F11406B"/>
    <w:rsid w:val="7F2D0D90"/>
    <w:rsid w:val="7F3F56D3"/>
    <w:rsid w:val="7F7158A5"/>
    <w:rsid w:val="7F790A0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semiHidden="0" w:name="heading 3"/>
    <w:lsdException w:qFormat="1" w:uiPriority="0" w:semiHidden="0" w:name="heading 4"/>
    <w:lsdException w:qFormat="1" w:uiPriority="0" w:semiHidden="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35" w:semiHidden="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keepNext/>
      <w:keepLines/>
      <w:spacing w:before="340" w:beforeLines="0" w:beforeAutospacing="0" w:after="330" w:afterLines="0" w:afterAutospacing="0" w:line="576" w:lineRule="auto"/>
      <w:outlineLvl w:val="0"/>
    </w:pPr>
    <w:rPr>
      <w:b/>
      <w:kern w:val="44"/>
      <w:sz w:val="44"/>
    </w:rPr>
  </w:style>
  <w:style w:type="paragraph" w:styleId="3">
    <w:name w:val="heading 2"/>
    <w:basedOn w:val="1"/>
    <w:next w:val="1"/>
    <w:link w:val="13"/>
    <w:unhideWhenUsed/>
    <w:qFormat/>
    <w:uiPriority w:val="0"/>
    <w:pPr>
      <w:keepNext/>
      <w:keepLines/>
      <w:spacing w:before="260" w:beforeLines="0" w:beforeAutospacing="0" w:after="260" w:afterLines="0" w:afterAutospacing="0" w:line="413" w:lineRule="auto"/>
      <w:outlineLvl w:val="1"/>
    </w:pPr>
    <w:rPr>
      <w:rFonts w:ascii="Arial" w:hAnsi="Arial" w:eastAsia="黑体"/>
      <w:b/>
      <w:sz w:val="32"/>
    </w:rPr>
  </w:style>
  <w:style w:type="paragraph" w:styleId="4">
    <w:name w:val="heading 3"/>
    <w:basedOn w:val="1"/>
    <w:next w:val="1"/>
    <w:unhideWhenUsed/>
    <w:qFormat/>
    <w:uiPriority w:val="0"/>
    <w:pPr>
      <w:keepNext/>
      <w:keepLines/>
      <w:spacing w:before="260" w:beforeLines="0" w:beforeAutospacing="0" w:after="260" w:afterLines="0" w:afterAutospacing="0" w:line="413" w:lineRule="auto"/>
      <w:outlineLvl w:val="2"/>
    </w:pPr>
    <w:rPr>
      <w:b/>
      <w:sz w:val="32"/>
    </w:rPr>
  </w:style>
  <w:style w:type="paragraph" w:styleId="5">
    <w:name w:val="heading 4"/>
    <w:basedOn w:val="1"/>
    <w:next w:val="1"/>
    <w:unhideWhenUsed/>
    <w:qFormat/>
    <w:uiPriority w:val="0"/>
    <w:pPr>
      <w:keepNext/>
      <w:keepLines/>
      <w:spacing w:before="280" w:beforeLines="0" w:beforeAutospacing="0" w:after="290" w:afterLines="0" w:afterAutospacing="0" w:line="372" w:lineRule="auto"/>
      <w:outlineLvl w:val="3"/>
    </w:pPr>
    <w:rPr>
      <w:rFonts w:ascii="Arial" w:hAnsi="Arial" w:eastAsia="黑体"/>
      <w:b/>
      <w:sz w:val="28"/>
    </w:rPr>
  </w:style>
  <w:style w:type="paragraph" w:styleId="6">
    <w:name w:val="heading 5"/>
    <w:basedOn w:val="1"/>
    <w:next w:val="1"/>
    <w:unhideWhenUsed/>
    <w:qFormat/>
    <w:uiPriority w:val="0"/>
    <w:pPr>
      <w:keepNext/>
      <w:keepLines/>
      <w:spacing w:before="280" w:beforeLines="0" w:beforeAutospacing="0" w:after="290" w:afterLines="0" w:afterAutospacing="0" w:line="372" w:lineRule="auto"/>
      <w:outlineLvl w:val="4"/>
    </w:pPr>
    <w:rPr>
      <w:b/>
      <w:sz w:val="28"/>
    </w:rPr>
  </w:style>
  <w:style w:type="character" w:default="1" w:styleId="12">
    <w:name w:val="Default Paragraph Font"/>
    <w:semiHidden/>
    <w:qFormat/>
    <w:uiPriority w:val="0"/>
  </w:style>
  <w:style w:type="table" w:default="1" w:styleId="11">
    <w:name w:val="Normal Table"/>
    <w:semiHidden/>
    <w:qFormat/>
    <w:uiPriority w:val="0"/>
    <w:tblPr>
      <w:tblCellMar>
        <w:top w:w="0" w:type="dxa"/>
        <w:left w:w="108" w:type="dxa"/>
        <w:bottom w:w="0" w:type="dxa"/>
        <w:right w:w="108" w:type="dxa"/>
      </w:tblCellMar>
    </w:tblPr>
  </w:style>
  <w:style w:type="paragraph" w:styleId="7">
    <w:name w:val="caption"/>
    <w:basedOn w:val="1"/>
    <w:next w:val="1"/>
    <w:unhideWhenUsed/>
    <w:qFormat/>
    <w:uiPriority w:val="35"/>
    <w:pPr>
      <w:spacing w:after="160" w:line="259" w:lineRule="auto"/>
    </w:pPr>
    <w:rPr>
      <w:rFonts w:eastAsia="黑体" w:asciiTheme="majorHAnsi" w:hAnsiTheme="majorHAnsi" w:cstheme="majorBidi"/>
      <w:sz w:val="20"/>
      <w:szCs w:val="20"/>
    </w:rPr>
  </w:style>
  <w:style w:type="paragraph" w:styleId="8">
    <w:name w:val="footer"/>
    <w:basedOn w:val="1"/>
    <w:qFormat/>
    <w:uiPriority w:val="0"/>
    <w:pPr>
      <w:tabs>
        <w:tab w:val="center" w:pos="4153"/>
        <w:tab w:val="right" w:pos="8306"/>
      </w:tabs>
      <w:snapToGrid w:val="0"/>
      <w:jc w:val="left"/>
    </w:pPr>
    <w:rPr>
      <w:sz w:val="18"/>
    </w:rPr>
  </w:style>
  <w:style w:type="paragraph" w:styleId="9">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10">
    <w:name w:val="Normal (Web)"/>
    <w:basedOn w:val="1"/>
    <w:qFormat/>
    <w:uiPriority w:val="0"/>
    <w:pPr>
      <w:spacing w:before="0" w:beforeAutospacing="1" w:after="0" w:afterAutospacing="1"/>
      <w:ind w:left="0" w:right="0"/>
      <w:jc w:val="left"/>
    </w:pPr>
    <w:rPr>
      <w:kern w:val="0"/>
      <w:sz w:val="24"/>
      <w:lang w:val="en-US" w:eastAsia="zh-CN" w:bidi="ar"/>
    </w:rPr>
  </w:style>
  <w:style w:type="character" w:customStyle="1" w:styleId="13">
    <w:name w:val="标题 2 Char"/>
    <w:link w:val="3"/>
    <w:qFormat/>
    <w:uiPriority w:val="0"/>
    <w:rPr>
      <w:rFonts w:ascii="Arial" w:hAnsi="Arial" w:eastAsia="黑体"/>
      <w:b/>
      <w:sz w:val="32"/>
    </w:rPr>
  </w:style>
  <w:style w:type="paragraph" w:customStyle="1" w:styleId="14">
    <w:name w:val="正文-段落"/>
    <w:basedOn w:val="1"/>
    <w:qFormat/>
    <w:uiPriority w:val="0"/>
    <w:pPr>
      <w:widowControl/>
      <w:topLinePunct w:val="0"/>
      <w:spacing w:before="240" w:line="360" w:lineRule="auto"/>
    </w:pPr>
    <w:rPr>
      <w:color w:val="0D0D0D" w:themeColor="text1" w:themeTint="F2"/>
      <w:kern w:val="0"/>
      <w:szCs w:val="22"/>
      <w:lang w:val="en-IN" w:eastAsia="en-US"/>
      <w14:textFill>
        <w14:solidFill>
          <w14:schemeClr w14:val="tx1">
            <w14:lumMod w14:val="95000"/>
            <w14:lumOff w14:val="5000"/>
          </w14:schemeClr>
        </w14:solidFill>
      </w14:textFill>
    </w:rPr>
  </w:style>
  <w:style w:type="paragraph" w:customStyle="1" w:styleId="15">
    <w:name w:val="Figure Style"/>
    <w:basedOn w:val="7"/>
    <w:qFormat/>
    <w:uiPriority w:val="0"/>
    <w:pPr>
      <w:keepNext/>
      <w:keepLines/>
      <w:numPr>
        <w:ilvl w:val="0"/>
        <w:numId w:val="1"/>
      </w:numPr>
      <w:tabs>
        <w:tab w:val="left" w:pos="284"/>
      </w:tabs>
      <w:spacing w:before="240"/>
    </w:pPr>
    <w:rPr>
      <w:rFonts w:ascii="Times New Roman" w:hAnsi="Times New Roman" w:eastAsia="宋体"/>
      <w:b/>
      <w:sz w:val="24"/>
    </w:r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7" Type="http://schemas.openxmlformats.org/officeDocument/2006/relationships/fontTable" Target="fontTable.xml"/><Relationship Id="rId16" Type="http://schemas.openxmlformats.org/officeDocument/2006/relationships/numbering" Target="numbering.xml"/><Relationship Id="rId15" Type="http://schemas.openxmlformats.org/officeDocument/2006/relationships/customXml" Target="../customXml/item1.xml"/><Relationship Id="rId14" Type="http://schemas.openxmlformats.org/officeDocument/2006/relationships/image" Target="media/image5.png"/><Relationship Id="rId13" Type="http://schemas.openxmlformats.org/officeDocument/2006/relationships/image" Target="media/image4.jpeg"/><Relationship Id="rId12" Type="http://schemas.openxmlformats.org/officeDocument/2006/relationships/image" Target="media/image3.jpeg"/><Relationship Id="rId11" Type="http://schemas.openxmlformats.org/officeDocument/2006/relationships/image" Target="media/image2.png"/><Relationship Id="rId10" Type="http://schemas.openxmlformats.org/officeDocument/2006/relationships/image" Target="media/image1.png"/><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sectNamePr val="lengthwise4"/>
      <sectRole val="1"/>
    </customSectPr>
    <customSectPr>
      <sectNamePr val="摘要"/>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32</Pages>
  <Words>9566</Words>
  <Characters>12219</Characters>
  <Lines>0</Lines>
  <Paragraphs>0</Paragraphs>
  <TotalTime>63</TotalTime>
  <ScaleCrop>false</ScaleCrop>
  <LinksUpToDate>false</LinksUpToDate>
  <CharactersWithSpaces>14342</CharactersWithSpaces>
  <Application>WPS Office_11.1.0.13703_F1E327BC-269C-435d-A152-05C5408002CA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2019-12-12T12:44:00Z</dcterms:created>
  <dc:creator>咕咕</dc:creator>
  <cp:lastModifiedBy>Administrator</cp:lastModifiedBy>
  <dcterms:modified xsi:type="dcterms:W3CDTF">2023-02-07T07:06:04Z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2052-11.1.0.13703</vt:lpwstr>
  </property>
  <property fmtid="{D5CDD505-2E9C-101B-9397-08002B2CF9AE}" pid="3" name="ICV">
    <vt:lpwstr>D31C38A7E8D6478E98532416EF5D03E8</vt:lpwstr>
  </property>
</Properties>
</file>