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6" w:type="first"/>
          <w:headerReference r:id="rId4" w:type="default"/>
          <w:headerReference r:id="rId5"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24"/>
      <w:bookmarkStart w:id="1" w:name="_Toc453597319"/>
      <w:bookmarkStart w:id="2" w:name="_Toc481801204"/>
      <w:bookmarkStart w:id="3" w:name="OLE_LINK39"/>
      <w:bookmarkStart w:id="4" w:name="_Toc438987549"/>
      <w:bookmarkStart w:id="5" w:name="OLE_LINK40"/>
      <w:bookmarkStart w:id="6" w:name="_Toc415818939"/>
      <w:bookmarkStart w:id="7" w:name="_Toc418070112"/>
      <w:bookmarkStart w:id="8" w:name="_Hlk23501351"/>
      <w:bookmarkStart w:id="9" w:name="OLE_LINK15"/>
      <w:bookmarkStart w:id="10" w:name="OLE_LINK13"/>
      <w:bookmarkStart w:id="11" w:name="_Toc415142861"/>
      <w:bookmarkStart w:id="12" w:name="_Toc415143481"/>
      <w:bookmarkStart w:id="13" w:name="_Toc517262917"/>
      <w:r>
        <w:rPr>
          <w:sz w:val="24"/>
        </w:rPr>
        <mc:AlternateContent>
          <mc:Choice Requires="wps">
            <w:drawing>
              <wp:anchor distT="0" distB="0" distL="114300" distR="114300" simplePos="0" relativeHeight="251661312" behindDoc="0" locked="0" layoutInCell="1" allowOverlap="1">
                <wp:simplePos x="0" y="0"/>
                <wp:positionH relativeFrom="column">
                  <wp:posOffset>-172720</wp:posOffset>
                </wp:positionH>
                <wp:positionV relativeFrom="paragraph">
                  <wp:posOffset>1339850</wp:posOffset>
                </wp:positionV>
                <wp:extent cx="6352540" cy="2647315"/>
                <wp:effectExtent l="0" t="0" r="10160" b="635"/>
                <wp:wrapNone/>
                <wp:docPr id="56" name="文本框 56"/>
                <wp:cNvGraphicFramePr/>
                <a:graphic xmlns:a="http://schemas.openxmlformats.org/drawingml/2006/main">
                  <a:graphicData uri="http://schemas.microsoft.com/office/word/2010/wordprocessingShape">
                    <wps:wsp>
                      <wps:cNvSpPr txBox="1"/>
                      <wps:spPr>
                        <a:xfrm>
                          <a:off x="1651635" y="2068195"/>
                          <a:ext cx="6352540" cy="26473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工业打砂机行业形势分析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pt;margin-top:105.5pt;height:208.45pt;width:500.2pt;z-index:251661312;mso-width-relative:page;mso-height-relative:page;" fillcolor="#FFFFFF [3201]" filled="t" stroked="f" coordsize="21600,21600" o:gfxdata="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jQ5lc&#10;1gAAAAsBAAAPAAAAAAAAAAEAIAAAACIAAABkcnMvZG93bnJldi54bWxQSwECFAAUAAAACACHTuJA&#10;F6EMYFwCAACeBAAADgAAAAAAAAABACAAAAAlAQAAZHJzL2Uyb0RvYy54bWxQSwUGAAAAAAYABgBZ&#10;AQAA8w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工业打砂机行业形势分析</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r>
        <w:rPr>
          <w:rFonts w:hint="eastAsia"/>
          <w:lang w:eastAsia="zh-CN"/>
        </w:rPr>
        <w:t>工业打砂机是用于各行业表面处理和清洁过程的专用设备。 它的工作原理是利用压缩空气或离心力将磨料（例如沙子、玻璃珠或钢砂）高速推到表面上。 该过程可有效去除表面的铁锈、油漆、腐蚀、氧化皮或污染物，为涂层、精加工或翻新做好准备。 该机器的多功能性使其可用于多种材料，包括金属、混凝土、木材和复合材料，使其成为汽车、航空航天、建筑、造船和制造等行业的重要工具。 工业打砂机有各种尺寸和配置，从用于详细工作的小型手持式装置到用于重型应用的大型自动化系统，提供表面处理过程的精度和控制，同时确保表面处理任务的效率和均匀性。</w:t>
      </w:r>
    </w:p>
    <w:p>
      <w:pPr>
        <w:pStyle w:val="148"/>
        <w:rPr>
          <w:lang w:eastAsia="zh-CN"/>
        </w:rPr>
      </w:pPr>
      <w:r>
        <w:rPr>
          <w:rFonts w:hint="eastAsia"/>
          <w:lang w:eastAsia="zh-CN"/>
        </w:rPr>
        <w:t>工业打砂机产品图片</w:t>
      </w:r>
    </w:p>
    <w:p>
      <w:pPr>
        <w:pStyle w:val="143"/>
        <w:rPr>
          <w:lang w:eastAsia="zh-CN"/>
        </w:rPr>
      </w:pPr>
      <w:r>
        <w:rPr>
          <w:lang w:eastAsia="zh-CN"/>
        </w:rPr>
        <w:drawing>
          <wp:inline distT="0" distB="0" distL="0" distR="0">
            <wp:extent cx="4210050" cy="2807335"/>
            <wp:effectExtent l="0" t="0" r="0" b="12065"/>
            <wp:docPr id="522928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92862" name="图片 1"/>
                    <pic:cNvPicPr>
                      <a:picLocks noChangeAspect="1"/>
                    </pic:cNvPicPr>
                  </pic:nvPicPr>
                  <pic:blipFill>
                    <a:blip r:embed="rId9"/>
                    <a:stretch>
                      <a:fillRect/>
                    </a:stretch>
                  </pic:blipFill>
                  <pic:spPr>
                    <a:xfrm>
                      <a:off x="0" y="0"/>
                      <a:ext cx="4212974" cy="2809370"/>
                    </a:xfrm>
                    <a:prstGeom prst="rect">
                      <a:avLst/>
                    </a:prstGeom>
                  </pic:spPr>
                </pic:pic>
              </a:graphicData>
            </a:graphic>
          </wp:inline>
        </w:drawing>
      </w:r>
    </w:p>
    <w:p>
      <w:pPr>
        <w:pStyle w:val="143"/>
        <w:rPr>
          <w:lang w:eastAsia="zh-CN"/>
        </w:rPr>
      </w:pPr>
      <w:r>
        <w:rPr>
          <w:rFonts w:hint="eastAsia"/>
          <w:lang w:eastAsia="zh-CN"/>
        </w:rPr>
        <w:t>资料来源：第三方资料及QYResearch整理</w:t>
      </w:r>
    </w:p>
    <w:p>
      <w:pPr>
        <w:pStyle w:val="145"/>
        <w:rPr>
          <w:lang w:eastAsia="zh-CN"/>
        </w:rPr>
      </w:pPr>
      <w:r>
        <w:rPr>
          <w:rFonts w:hint="eastAsia"/>
          <w:lang w:eastAsia="zh-CN"/>
        </w:rPr>
        <w:t>据调研团队最新报告“全球工业打砂机市场报告2023-2029”显示，预计2029年全球工业打砂机市场规模将达到5.2亿美元，未来几年年复合增长率CAGR为3.3%。</w:t>
      </w:r>
    </w:p>
    <w:p>
      <w:pPr>
        <w:pStyle w:val="148"/>
        <w:rPr>
          <w:lang w:eastAsia="zh-CN"/>
        </w:rPr>
      </w:pPr>
      <w:r>
        <w:rPr>
          <w:rFonts w:hint="eastAsia"/>
          <w:lang w:eastAsia="zh-CN"/>
        </w:rPr>
        <w:t>工业打砂机，全球市场总体规模，预计2</w:t>
      </w:r>
      <w:r>
        <w:rPr>
          <w:lang w:eastAsia="zh-CN"/>
        </w:rPr>
        <w:t>029</w:t>
      </w:r>
      <w:r>
        <w:rPr>
          <w:rFonts w:hint="eastAsia"/>
          <w:lang w:eastAsia="zh-CN"/>
        </w:rPr>
        <w:t>年达到</w:t>
      </w:r>
      <w:r>
        <w:rPr>
          <w:lang w:eastAsia="zh-CN"/>
        </w:rPr>
        <w:t>5.2</w:t>
      </w:r>
      <w:r>
        <w:rPr>
          <w:rFonts w:hint="eastAsia"/>
          <w:lang w:eastAsia="zh-CN"/>
        </w:rPr>
        <w:t>亿美元</w:t>
      </w:r>
    </w:p>
    <w:p>
      <w:pPr>
        <w:pStyle w:val="145"/>
      </w:pPr>
      <w:r>
        <w:drawing>
          <wp:inline distT="0" distB="0" distL="0" distR="0">
            <wp:extent cx="6188710" cy="2940685"/>
            <wp:effectExtent l="0" t="0" r="2540" b="12065"/>
            <wp:docPr id="177266435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如上图表/数据，摘自QYResearch最新报告“全球工业打砂机市场研究报告2023-2029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D1：表面处理需求：汽车、建筑、造船和制造等行业需要有效的表面处理以进行涂层、清洁或翻新，从而推动了对喷砂机的需求。</w:t>
      </w:r>
    </w:p>
    <w:p>
      <w:pPr>
        <w:pStyle w:val="145"/>
        <w:rPr>
          <w:lang w:eastAsia="zh-CN"/>
        </w:rPr>
      </w:pPr>
      <w:r>
        <w:rPr>
          <w:rFonts w:hint="eastAsia"/>
          <w:lang w:eastAsia="zh-CN"/>
        </w:rPr>
        <w:t>D2：材料应用多样：打砂机用途广泛，可以处理各种材料，包括金属、混凝土、木材和复合材料，使其在多个行业中不可或缺。</w:t>
      </w:r>
    </w:p>
    <w:p>
      <w:pPr>
        <w:pStyle w:val="145"/>
        <w:rPr>
          <w:lang w:eastAsia="zh-CN"/>
        </w:rPr>
      </w:pPr>
      <w:r>
        <w:rPr>
          <w:rFonts w:hint="eastAsia"/>
          <w:lang w:eastAsia="zh-CN"/>
        </w:rPr>
        <w:t>D3：效率和精度：这些机器提供表面处理的效率和精度，能够有效去除铁锈、油漆、氧化皮和污染物，提高表面质量。</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R1：环境问题：喷砂会产生空气污染物，例如灰尘和颗粒物，这会引起环境和健康问题，从而导致更严格的法规和潜在的使用限制。</w:t>
      </w:r>
    </w:p>
    <w:p>
      <w:pPr>
        <w:pStyle w:val="145"/>
        <w:rPr>
          <w:lang w:eastAsia="zh-CN"/>
        </w:rPr>
      </w:pPr>
      <w:r>
        <w:rPr>
          <w:rFonts w:hint="eastAsia"/>
          <w:lang w:eastAsia="zh-CN"/>
        </w:rPr>
        <w:t>R2：操作安全：操作喷砂机需要采取安全措施，以保护操作员免受磨料暴露和设备危险的影响，这可能会阻碍在某些环境下的使用。</w:t>
      </w:r>
    </w:p>
    <w:p>
      <w:pPr>
        <w:pStyle w:val="145"/>
        <w:rPr>
          <w:lang w:eastAsia="zh-CN"/>
        </w:rPr>
      </w:pPr>
      <w:r>
        <w:rPr>
          <w:rFonts w:hint="eastAsia"/>
          <w:lang w:eastAsia="zh-CN"/>
        </w:rPr>
        <w:t>R3：维护和设备成本：喷砂机的维护和保养成本以及初始投资可能会很大，从而阻碍小型企业或预算有限的企业。</w:t>
      </w:r>
    </w:p>
    <w:p>
      <w:pPr>
        <w:pStyle w:val="145"/>
        <w:rPr>
          <w:lang w:eastAsia="zh-CN"/>
        </w:rPr>
      </w:pPr>
    </w:p>
    <w:p>
      <w:pPr>
        <w:pStyle w:val="145"/>
        <w:rPr>
          <w:lang w:eastAsia="zh-CN"/>
        </w:rPr>
      </w:pPr>
      <w:r>
        <w:rPr>
          <w:rFonts w:hint="eastAsia"/>
          <w:lang w:eastAsia="zh-CN"/>
        </w:rPr>
        <w:t>行业发展挑战</w:t>
      </w:r>
      <w:r>
        <w:rPr>
          <w:lang w:eastAsia="zh-CN"/>
        </w:rPr>
        <w:t>:</w:t>
      </w:r>
    </w:p>
    <w:p>
      <w:pPr>
        <w:pStyle w:val="145"/>
        <w:rPr>
          <w:lang w:eastAsia="zh-CN"/>
        </w:rPr>
      </w:pPr>
    </w:p>
    <w:p>
      <w:pPr>
        <w:pStyle w:val="145"/>
        <w:rPr>
          <w:lang w:eastAsia="zh-CN"/>
        </w:rPr>
      </w:pPr>
      <w:r>
        <w:rPr>
          <w:rFonts w:hint="eastAsia"/>
          <w:lang w:eastAsia="zh-CN"/>
        </w:rPr>
        <w:t>C1：法规遵从性：适应不断变化的环境法规和安全标准可能需要技术修改或额外投资以实现合规性。</w:t>
      </w:r>
    </w:p>
    <w:p>
      <w:pPr>
        <w:pStyle w:val="145"/>
        <w:rPr>
          <w:lang w:eastAsia="zh-CN"/>
        </w:rPr>
      </w:pPr>
      <w:r>
        <w:rPr>
          <w:rFonts w:hint="eastAsia"/>
          <w:lang w:eastAsia="zh-CN"/>
        </w:rPr>
        <w:t>C2：技术进步：在竞争激烈的市场中，持续创新以提高效率、减少环境影响和增强安全性对于制造商来说可能是一项挑战。</w:t>
      </w:r>
    </w:p>
    <w:p>
      <w:pPr>
        <w:pStyle w:val="145"/>
        <w:rPr>
          <w:lang w:eastAsia="zh-CN"/>
        </w:rPr>
      </w:pPr>
      <w:r>
        <w:rPr>
          <w:rFonts w:hint="eastAsia"/>
          <w:lang w:eastAsia="zh-CN"/>
        </w:rPr>
        <w:t>C3：操作员培训和技能：为操作员有效、安全地操作喷砂机进行适当的培训和技能发展至关重要，但可能会给劳动力培训带来挑战。</w:t>
      </w:r>
    </w:p>
    <w:p>
      <w:pPr>
        <w:pStyle w:val="145"/>
        <w:rPr>
          <w:lang w:eastAsia="zh-CN"/>
        </w:rPr>
      </w:pPr>
    </w:p>
    <w:p>
      <w:pPr>
        <w:pStyle w:val="148"/>
        <w:rPr>
          <w:lang w:eastAsia="zh-CN"/>
        </w:rPr>
      </w:pPr>
      <w:r>
        <w:rPr>
          <w:rFonts w:hint="eastAsia"/>
          <w:lang w:eastAsia="zh-CN"/>
        </w:rPr>
        <w:t>全球市场工业打砂机前</w:t>
      </w:r>
      <w:r>
        <w:rPr>
          <w:lang w:eastAsia="zh-CN"/>
        </w:rPr>
        <w:t>16</w:t>
      </w:r>
      <w:r>
        <w:rPr>
          <w:rFonts w:hint="eastAsia"/>
          <w:lang w:eastAsia="zh-CN"/>
        </w:rPr>
        <w:t>强生产商排名及市场占有率（持续更新）</w:t>
      </w:r>
    </w:p>
    <w:p>
      <w:pPr>
        <w:pStyle w:val="145"/>
        <w:jc w:val="center"/>
      </w:pPr>
      <w:r>
        <w:drawing>
          <wp:inline distT="0" distB="0" distL="0" distR="0">
            <wp:extent cx="4571365" cy="4399915"/>
            <wp:effectExtent l="0" t="0" r="635" b="635"/>
            <wp:docPr id="19783707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70780" name="图片 1"/>
                    <pic:cNvPicPr>
                      <a:picLocks noChangeAspect="1"/>
                    </pic:cNvPicPr>
                  </pic:nvPicPr>
                  <pic:blipFill>
                    <a:blip r:embed="rId11"/>
                    <a:stretch>
                      <a:fillRect/>
                    </a:stretch>
                  </pic:blipFill>
                  <pic:spPr>
                    <a:xfrm>
                      <a:off x="0" y="0"/>
                      <a:ext cx="4571429" cy="4400000"/>
                    </a:xfrm>
                    <a:prstGeom prst="rect">
                      <a:avLst/>
                    </a:prstGeom>
                  </pic:spPr>
                </pic:pic>
              </a:graphicData>
            </a:graphic>
          </wp:inline>
        </w:drawing>
      </w:r>
    </w:p>
    <w:p>
      <w:pPr>
        <w:pStyle w:val="143"/>
        <w:rPr>
          <w:lang w:eastAsia="zh-CN"/>
        </w:rPr>
      </w:pPr>
      <w:r>
        <w:rPr>
          <w:rFonts w:hint="eastAsia"/>
          <w:lang w:eastAsia="zh-CN"/>
        </w:rPr>
        <w:t>如上图表/数据，摘自QYResearch最新报告“全球工业打砂机市场研究报告2023-2029</w:t>
      </w:r>
      <w:r>
        <w:rPr>
          <w:lang w:eastAsia="zh-CN"/>
        </w:rPr>
        <w:t>.</w:t>
      </w:r>
    </w:p>
    <w:p>
      <w:pPr>
        <w:pStyle w:val="145"/>
        <w:rPr>
          <w:lang w:eastAsia="zh-CN"/>
        </w:rPr>
      </w:pPr>
      <w:r>
        <w:rPr>
          <w:rFonts w:hint="eastAsia"/>
          <w:lang w:eastAsia="zh-CN"/>
        </w:rPr>
        <w:t>全球范围内工业打砂机生产商主要包括</w:t>
      </w:r>
      <w:r>
        <w:rPr>
          <w:lang w:eastAsia="zh-CN"/>
        </w:rPr>
        <w:t>A</w:t>
      </w:r>
      <w:r>
        <w:rPr>
          <w:rFonts w:hint="eastAsia"/>
          <w:lang w:eastAsia="zh-CN"/>
        </w:rPr>
        <w:t>tlas</w:t>
      </w:r>
      <w:r>
        <w:rPr>
          <w:lang w:eastAsia="zh-CN"/>
        </w:rPr>
        <w:t xml:space="preserve"> Copco</w:t>
      </w:r>
      <w:r>
        <w:rPr>
          <w:rFonts w:hint="eastAsia"/>
          <w:lang w:eastAsia="zh-CN"/>
        </w:rPr>
        <w:t>、</w:t>
      </w:r>
      <w:r>
        <w:rPr>
          <w:lang w:eastAsia="zh-CN"/>
        </w:rPr>
        <w:t>Elcometer</w:t>
      </w:r>
      <w:r>
        <w:rPr>
          <w:rFonts w:hint="eastAsia"/>
          <w:lang w:eastAsia="zh-CN"/>
        </w:rPr>
        <w:t>、</w:t>
      </w:r>
      <w:r>
        <w:rPr>
          <w:lang w:eastAsia="zh-CN"/>
        </w:rPr>
        <w:t>Graco</w:t>
      </w:r>
      <w:r>
        <w:rPr>
          <w:rFonts w:hint="eastAsia"/>
          <w:lang w:eastAsia="zh-CN"/>
        </w:rPr>
        <w:t>、</w:t>
      </w:r>
      <w:r>
        <w:rPr>
          <w:lang w:eastAsia="zh-CN"/>
        </w:rPr>
        <w:t>Sinto</w:t>
      </w:r>
      <w:r>
        <w:rPr>
          <w:rFonts w:hint="eastAsia"/>
          <w:lang w:eastAsia="zh-CN"/>
        </w:rPr>
        <w:t>、</w:t>
      </w:r>
      <w:r>
        <w:rPr>
          <w:lang w:eastAsia="zh-CN"/>
        </w:rPr>
        <w:t xml:space="preserve"> Clmco Industries</w:t>
      </w:r>
      <w:r>
        <w:rPr>
          <w:rFonts w:hint="eastAsia"/>
          <w:lang w:eastAsia="zh-CN"/>
        </w:rPr>
        <w:t>等。2022年，全球前五大厂商占有大约</w:t>
      </w:r>
      <w:r>
        <w:rPr>
          <w:lang w:eastAsia="zh-CN"/>
        </w:rPr>
        <w:t>69</w:t>
      </w:r>
      <w:r>
        <w:rPr>
          <w:rFonts w:hint="eastAsia"/>
          <w:lang w:eastAsia="zh-CN"/>
        </w:rPr>
        <w:t>.0%的市场份额。</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CF1907"/>
    <w:rsid w:val="02017B58"/>
    <w:rsid w:val="02A50666"/>
    <w:rsid w:val="02C31E14"/>
    <w:rsid w:val="02E3014B"/>
    <w:rsid w:val="02E76B51"/>
    <w:rsid w:val="03107D15"/>
    <w:rsid w:val="03447D4D"/>
    <w:rsid w:val="039F62FF"/>
    <w:rsid w:val="03EA7678"/>
    <w:rsid w:val="042F016D"/>
    <w:rsid w:val="05405A2B"/>
    <w:rsid w:val="05847419"/>
    <w:rsid w:val="068560C3"/>
    <w:rsid w:val="070A2A99"/>
    <w:rsid w:val="07287ACA"/>
    <w:rsid w:val="07531178"/>
    <w:rsid w:val="07CE3ADB"/>
    <w:rsid w:val="07E72487"/>
    <w:rsid w:val="086D0162"/>
    <w:rsid w:val="09523C57"/>
    <w:rsid w:val="09B40479"/>
    <w:rsid w:val="0A126294"/>
    <w:rsid w:val="0A413560"/>
    <w:rsid w:val="0A9D03F6"/>
    <w:rsid w:val="0AFE7196"/>
    <w:rsid w:val="0B676BC5"/>
    <w:rsid w:val="0BE3650F"/>
    <w:rsid w:val="0CE12BAF"/>
    <w:rsid w:val="0D126C01"/>
    <w:rsid w:val="0D223618"/>
    <w:rsid w:val="0F231E64"/>
    <w:rsid w:val="0F5116AE"/>
    <w:rsid w:val="0F601CC9"/>
    <w:rsid w:val="105A40DF"/>
    <w:rsid w:val="1087172B"/>
    <w:rsid w:val="10A04854"/>
    <w:rsid w:val="10A122D5"/>
    <w:rsid w:val="113605CA"/>
    <w:rsid w:val="118A2253"/>
    <w:rsid w:val="121421B7"/>
    <w:rsid w:val="12145A3A"/>
    <w:rsid w:val="12B442BF"/>
    <w:rsid w:val="130030B9"/>
    <w:rsid w:val="132135EE"/>
    <w:rsid w:val="140C22F2"/>
    <w:rsid w:val="14DF00CB"/>
    <w:rsid w:val="15391A5F"/>
    <w:rsid w:val="161C3356"/>
    <w:rsid w:val="161D5555"/>
    <w:rsid w:val="166C0B57"/>
    <w:rsid w:val="16722A60"/>
    <w:rsid w:val="16A61C36"/>
    <w:rsid w:val="170809D5"/>
    <w:rsid w:val="171325EA"/>
    <w:rsid w:val="17263809"/>
    <w:rsid w:val="175355D1"/>
    <w:rsid w:val="18147C0E"/>
    <w:rsid w:val="182A5635"/>
    <w:rsid w:val="184461DF"/>
    <w:rsid w:val="184738E0"/>
    <w:rsid w:val="18B9619D"/>
    <w:rsid w:val="191861B7"/>
    <w:rsid w:val="19D133E7"/>
    <w:rsid w:val="19E67B09"/>
    <w:rsid w:val="1A3A7593"/>
    <w:rsid w:val="1A6900E2"/>
    <w:rsid w:val="1B073464"/>
    <w:rsid w:val="1B2C5C22"/>
    <w:rsid w:val="1B415BC7"/>
    <w:rsid w:val="1B6E410D"/>
    <w:rsid w:val="1C0A7327"/>
    <w:rsid w:val="1C27133D"/>
    <w:rsid w:val="1C492B76"/>
    <w:rsid w:val="1C8D7DE8"/>
    <w:rsid w:val="1CEB48FE"/>
    <w:rsid w:val="1D517B25"/>
    <w:rsid w:val="1DB37BCA"/>
    <w:rsid w:val="1DD1717A"/>
    <w:rsid w:val="1DE17414"/>
    <w:rsid w:val="1E0C0259"/>
    <w:rsid w:val="1E264686"/>
    <w:rsid w:val="1E29560A"/>
    <w:rsid w:val="1EA374D2"/>
    <w:rsid w:val="1EDA542E"/>
    <w:rsid w:val="1F0D1100"/>
    <w:rsid w:val="1F466CDC"/>
    <w:rsid w:val="1F990CE4"/>
    <w:rsid w:val="1FD06C40"/>
    <w:rsid w:val="20404975"/>
    <w:rsid w:val="20664BB5"/>
    <w:rsid w:val="20D506EC"/>
    <w:rsid w:val="20ED3B94"/>
    <w:rsid w:val="214210A0"/>
    <w:rsid w:val="218E591C"/>
    <w:rsid w:val="21C42573"/>
    <w:rsid w:val="22257114"/>
    <w:rsid w:val="226136F6"/>
    <w:rsid w:val="229F5759"/>
    <w:rsid w:val="22D20532"/>
    <w:rsid w:val="236D70AB"/>
    <w:rsid w:val="24187544"/>
    <w:rsid w:val="24356AF4"/>
    <w:rsid w:val="243B67FF"/>
    <w:rsid w:val="24816F73"/>
    <w:rsid w:val="248633FB"/>
    <w:rsid w:val="250F7ADC"/>
    <w:rsid w:val="25644FE8"/>
    <w:rsid w:val="256A6EF1"/>
    <w:rsid w:val="256E2074"/>
    <w:rsid w:val="2598673B"/>
    <w:rsid w:val="25B22B68"/>
    <w:rsid w:val="26126405"/>
    <w:rsid w:val="27054714"/>
    <w:rsid w:val="27372964"/>
    <w:rsid w:val="27CC2E58"/>
    <w:rsid w:val="28696559"/>
    <w:rsid w:val="28E41726"/>
    <w:rsid w:val="299E43D8"/>
    <w:rsid w:val="29DC643B"/>
    <w:rsid w:val="29FD43F1"/>
    <w:rsid w:val="2A113092"/>
    <w:rsid w:val="2A5218FD"/>
    <w:rsid w:val="2A8A1A57"/>
    <w:rsid w:val="2A976B6E"/>
    <w:rsid w:val="2B5449A3"/>
    <w:rsid w:val="2C06004A"/>
    <w:rsid w:val="2C0C4151"/>
    <w:rsid w:val="2C856399"/>
    <w:rsid w:val="2C971B37"/>
    <w:rsid w:val="2CE72BBB"/>
    <w:rsid w:val="2D090B71"/>
    <w:rsid w:val="2D9716DA"/>
    <w:rsid w:val="2D9A265E"/>
    <w:rsid w:val="2ED33660"/>
    <w:rsid w:val="2EF9001C"/>
    <w:rsid w:val="2EFD44A4"/>
    <w:rsid w:val="2F107C41"/>
    <w:rsid w:val="2F5603B6"/>
    <w:rsid w:val="2F964A23"/>
    <w:rsid w:val="2FBF4562"/>
    <w:rsid w:val="30711E07"/>
    <w:rsid w:val="30A844DF"/>
    <w:rsid w:val="314F5F72"/>
    <w:rsid w:val="31BC43A8"/>
    <w:rsid w:val="31C02DAE"/>
    <w:rsid w:val="31C10830"/>
    <w:rsid w:val="31CE7B45"/>
    <w:rsid w:val="31EF007A"/>
    <w:rsid w:val="32915685"/>
    <w:rsid w:val="32925305"/>
    <w:rsid w:val="33301D0B"/>
    <w:rsid w:val="333A261A"/>
    <w:rsid w:val="33995EB7"/>
    <w:rsid w:val="33CF4D0C"/>
    <w:rsid w:val="33EE55C1"/>
    <w:rsid w:val="34196405"/>
    <w:rsid w:val="343B7C3F"/>
    <w:rsid w:val="34563CEC"/>
    <w:rsid w:val="34945D4F"/>
    <w:rsid w:val="34ED1C61"/>
    <w:rsid w:val="354016EB"/>
    <w:rsid w:val="354E0A01"/>
    <w:rsid w:val="35650626"/>
    <w:rsid w:val="35684E2E"/>
    <w:rsid w:val="357A05CB"/>
    <w:rsid w:val="36840A7D"/>
    <w:rsid w:val="38232AA8"/>
    <w:rsid w:val="38356245"/>
    <w:rsid w:val="389030DC"/>
    <w:rsid w:val="38F85F83"/>
    <w:rsid w:val="38FB278B"/>
    <w:rsid w:val="398D7AFC"/>
    <w:rsid w:val="399248BD"/>
    <w:rsid w:val="39984266"/>
    <w:rsid w:val="39CE0565"/>
    <w:rsid w:val="39F13F9D"/>
    <w:rsid w:val="3A1B4DE1"/>
    <w:rsid w:val="3A2A1B78"/>
    <w:rsid w:val="3A522D3D"/>
    <w:rsid w:val="3A864490"/>
    <w:rsid w:val="3AC37B79"/>
    <w:rsid w:val="3BAF51F7"/>
    <w:rsid w:val="3CCE564F"/>
    <w:rsid w:val="3CF93F15"/>
    <w:rsid w:val="3D666AC7"/>
    <w:rsid w:val="3D6F51D8"/>
    <w:rsid w:val="3D947997"/>
    <w:rsid w:val="3E2171FA"/>
    <w:rsid w:val="3E9704BE"/>
    <w:rsid w:val="3F2D1CB6"/>
    <w:rsid w:val="3F721126"/>
    <w:rsid w:val="3F9F0CF0"/>
    <w:rsid w:val="40277950"/>
    <w:rsid w:val="406F7D44"/>
    <w:rsid w:val="40F634A0"/>
    <w:rsid w:val="41E356A7"/>
    <w:rsid w:val="425311DE"/>
    <w:rsid w:val="42677E7F"/>
    <w:rsid w:val="43212B30"/>
    <w:rsid w:val="44757F5F"/>
    <w:rsid w:val="44E0180C"/>
    <w:rsid w:val="45433AAF"/>
    <w:rsid w:val="45921630"/>
    <w:rsid w:val="45AA4758"/>
    <w:rsid w:val="45D27E9B"/>
    <w:rsid w:val="460A7FF5"/>
    <w:rsid w:val="46136706"/>
    <w:rsid w:val="4622569C"/>
    <w:rsid w:val="462369A1"/>
    <w:rsid w:val="46845740"/>
    <w:rsid w:val="46F91E7C"/>
    <w:rsid w:val="477F6C5D"/>
    <w:rsid w:val="4794337F"/>
    <w:rsid w:val="47F830A4"/>
    <w:rsid w:val="48847404"/>
    <w:rsid w:val="48DB3696"/>
    <w:rsid w:val="48F07DB8"/>
    <w:rsid w:val="494552C4"/>
    <w:rsid w:val="494574C2"/>
    <w:rsid w:val="499C3754"/>
    <w:rsid w:val="4A4A12EF"/>
    <w:rsid w:val="4A4D7CF5"/>
    <w:rsid w:val="4A826ECA"/>
    <w:rsid w:val="4AE56F6F"/>
    <w:rsid w:val="4B427308"/>
    <w:rsid w:val="4B621DBB"/>
    <w:rsid w:val="4B812670"/>
    <w:rsid w:val="4C537145"/>
    <w:rsid w:val="4CB074DF"/>
    <w:rsid w:val="4DA457ED"/>
    <w:rsid w:val="508942AC"/>
    <w:rsid w:val="508A77AF"/>
    <w:rsid w:val="508F1A38"/>
    <w:rsid w:val="50F25EDA"/>
    <w:rsid w:val="511C03A3"/>
    <w:rsid w:val="51656219"/>
    <w:rsid w:val="51804844"/>
    <w:rsid w:val="51ED73F6"/>
    <w:rsid w:val="52133DB3"/>
    <w:rsid w:val="522762D7"/>
    <w:rsid w:val="52817C6A"/>
    <w:rsid w:val="52D41C73"/>
    <w:rsid w:val="52E80913"/>
    <w:rsid w:val="53121757"/>
    <w:rsid w:val="53362C11"/>
    <w:rsid w:val="533F1322"/>
    <w:rsid w:val="53832D10"/>
    <w:rsid w:val="53AB3ED4"/>
    <w:rsid w:val="53EA39B9"/>
    <w:rsid w:val="546A778A"/>
    <w:rsid w:val="54E33BD1"/>
    <w:rsid w:val="5510379B"/>
    <w:rsid w:val="551769A9"/>
    <w:rsid w:val="55671C2C"/>
    <w:rsid w:val="56925E96"/>
    <w:rsid w:val="56B70654"/>
    <w:rsid w:val="56F10111"/>
    <w:rsid w:val="57391B27"/>
    <w:rsid w:val="57805B1E"/>
    <w:rsid w:val="57AD4064"/>
    <w:rsid w:val="585B2F03"/>
    <w:rsid w:val="585F1909"/>
    <w:rsid w:val="58C93537"/>
    <w:rsid w:val="590A5625"/>
    <w:rsid w:val="591D6844"/>
    <w:rsid w:val="59227449"/>
    <w:rsid w:val="597A115C"/>
    <w:rsid w:val="59C524D5"/>
    <w:rsid w:val="59EB2715"/>
    <w:rsid w:val="5AE738B1"/>
    <w:rsid w:val="5BEA43D9"/>
    <w:rsid w:val="5C140AA0"/>
    <w:rsid w:val="5C2A2C44"/>
    <w:rsid w:val="5CD530DD"/>
    <w:rsid w:val="5CF4010E"/>
    <w:rsid w:val="5CF94596"/>
    <w:rsid w:val="5D0C1038"/>
    <w:rsid w:val="5D514C25"/>
    <w:rsid w:val="5E074753"/>
    <w:rsid w:val="5E363F9E"/>
    <w:rsid w:val="5E72057F"/>
    <w:rsid w:val="5E9B1744"/>
    <w:rsid w:val="5EE42E3D"/>
    <w:rsid w:val="5EEC0249"/>
    <w:rsid w:val="5F6B1E1C"/>
    <w:rsid w:val="5FDF73FB"/>
    <w:rsid w:val="608060E1"/>
    <w:rsid w:val="60B146B2"/>
    <w:rsid w:val="60C36BF4"/>
    <w:rsid w:val="615E224C"/>
    <w:rsid w:val="61965C29"/>
    <w:rsid w:val="6270558C"/>
    <w:rsid w:val="62C01E93"/>
    <w:rsid w:val="62C06610"/>
    <w:rsid w:val="62CF6C2B"/>
    <w:rsid w:val="62E123C8"/>
    <w:rsid w:val="633F4960"/>
    <w:rsid w:val="63F97611"/>
    <w:rsid w:val="640843A9"/>
    <w:rsid w:val="642B10E5"/>
    <w:rsid w:val="648B4982"/>
    <w:rsid w:val="64AF38BD"/>
    <w:rsid w:val="64E46044"/>
    <w:rsid w:val="64F81987"/>
    <w:rsid w:val="650249CE"/>
    <w:rsid w:val="650D74DA"/>
    <w:rsid w:val="65811A17"/>
    <w:rsid w:val="66BC5F1C"/>
    <w:rsid w:val="66D222BD"/>
    <w:rsid w:val="68A97CC5"/>
    <w:rsid w:val="68C22DEE"/>
    <w:rsid w:val="6967137D"/>
    <w:rsid w:val="69880C71"/>
    <w:rsid w:val="69AB2D6B"/>
    <w:rsid w:val="69CF1CA6"/>
    <w:rsid w:val="69E32EC5"/>
    <w:rsid w:val="6B026BA0"/>
    <w:rsid w:val="6B046820"/>
    <w:rsid w:val="6C4E553D"/>
    <w:rsid w:val="6C974A38"/>
    <w:rsid w:val="6CAD6BDB"/>
    <w:rsid w:val="6CE1026C"/>
    <w:rsid w:val="6D0475EA"/>
    <w:rsid w:val="6D891A42"/>
    <w:rsid w:val="6EA0288E"/>
    <w:rsid w:val="6EB3022A"/>
    <w:rsid w:val="6F1624CD"/>
    <w:rsid w:val="6F21085E"/>
    <w:rsid w:val="6F32657A"/>
    <w:rsid w:val="6F9D14AD"/>
    <w:rsid w:val="6FF96343"/>
    <w:rsid w:val="700468D2"/>
    <w:rsid w:val="70460641"/>
    <w:rsid w:val="706C4FFD"/>
    <w:rsid w:val="70EA114F"/>
    <w:rsid w:val="71062FFD"/>
    <w:rsid w:val="715352FB"/>
    <w:rsid w:val="71614610"/>
    <w:rsid w:val="71791CB7"/>
    <w:rsid w:val="71CF04C8"/>
    <w:rsid w:val="72414F83"/>
    <w:rsid w:val="72492390"/>
    <w:rsid w:val="726A4AC3"/>
    <w:rsid w:val="7271444E"/>
    <w:rsid w:val="73357A0F"/>
    <w:rsid w:val="73376795"/>
    <w:rsid w:val="73651863"/>
    <w:rsid w:val="739E3BBB"/>
    <w:rsid w:val="73D44095"/>
    <w:rsid w:val="74B23A83"/>
    <w:rsid w:val="74BF2D99"/>
    <w:rsid w:val="74C64922"/>
    <w:rsid w:val="74DA5B41"/>
    <w:rsid w:val="74FE287D"/>
    <w:rsid w:val="75286F45"/>
    <w:rsid w:val="761B77D2"/>
    <w:rsid w:val="77035551"/>
    <w:rsid w:val="77A43A56"/>
    <w:rsid w:val="78574EC9"/>
    <w:rsid w:val="787466AD"/>
    <w:rsid w:val="78967EE6"/>
    <w:rsid w:val="79952007"/>
    <w:rsid w:val="7A2463F3"/>
    <w:rsid w:val="7A4024A0"/>
    <w:rsid w:val="7B540CE3"/>
    <w:rsid w:val="7B7C4426"/>
    <w:rsid w:val="7BA41D67"/>
    <w:rsid w:val="7C1977A8"/>
    <w:rsid w:val="7C99137B"/>
    <w:rsid w:val="7D2953E6"/>
    <w:rsid w:val="7D7776E4"/>
    <w:rsid w:val="7D817FF3"/>
    <w:rsid w:val="7DA911B8"/>
    <w:rsid w:val="7DF30332"/>
    <w:rsid w:val="7DFC793D"/>
    <w:rsid w:val="7E261E06"/>
    <w:rsid w:val="7F0439F3"/>
    <w:rsid w:val="7F0B7AFA"/>
    <w:rsid w:val="7F1C1099"/>
    <w:rsid w:val="7F785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chart" Target="charts/chart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11476\Desktop\&#35266;&#28857;&#25968;&#25454;&#22270;&#34920;&#27169;&#26495;-20231008%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solidFill>
                <a:latin typeface="+mn-lt"/>
                <a:ea typeface="+mn-ea"/>
                <a:cs typeface="+mn-cs"/>
              </a:defRPr>
            </a:pPr>
            <a:r>
              <a:rPr lang="zh-CN" altLang="en-US" sz="1100" baseline="0">
                <a:solidFill>
                  <a:schemeClr val="tx1"/>
                </a:solidFill>
                <a:latin typeface="Book Antiqua" panose="02040602050305030304" pitchFamily="1" charset="0"/>
              </a:rPr>
              <a:t>全球市场规模（百万美元），</a:t>
            </a:r>
            <a:r>
              <a:rPr lang="en-US" altLang="zh-CN" sz="1100" baseline="0">
                <a:solidFill>
                  <a:schemeClr val="tx1"/>
                </a:solidFill>
                <a:latin typeface="Book Antiqua" panose="02040602050305030304" pitchFamily="1" charset="0"/>
              </a:rPr>
              <a:t>2023 VS 2029</a:t>
            </a:r>
            <a:endParaRPr lang="en-US" altLang="zh-CN" sz="1100" baseline="0">
              <a:solidFill>
                <a:schemeClr val="tx1"/>
              </a:solidFill>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全球总体!$C$21:$D$21</c:f>
              <c:numCache>
                <c:formatCode>General</c:formatCode>
                <c:ptCount val="2"/>
                <c:pt idx="0">
                  <c:v>2023</c:v>
                </c:pt>
                <c:pt idx="1">
                  <c:v>2029</c:v>
                </c:pt>
              </c:numCache>
            </c:numRef>
          </c:cat>
          <c:val>
            <c:numRef>
              <c:f>全球总体!$C$22:$D$22</c:f>
              <c:numCache>
                <c:formatCode>#,##0.00_ </c:formatCode>
                <c:ptCount val="2"/>
                <c:pt idx="0">
                  <c:v>309</c:v>
                </c:pt>
                <c:pt idx="1">
                  <c:v>411</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0.32615</cdr:x>
      <cdr:y>0.21062</cdr:y>
    </cdr:from>
    <cdr:to>
      <cdr:x>0.65828</cdr:x>
      <cdr:y>0.37184</cdr:y>
    </cdr:to>
    <cdr:grpSp>
      <cdr:nvGrpSpPr>
        <cdr:cNvPr id="2" name="组合 1"/>
        <cdr:cNvGrpSpPr/>
      </cdr:nvGrpSpPr>
      <cdr:grpSpPr xmlns:a="http://schemas.openxmlformats.org/drawingml/2006/main">
        <a:xfrm rot="439955">
          <a:off x="2018448" y="619367"/>
          <a:ext cx="2055456" cy="474097"/>
          <a:chOff x="2472076" y="803781"/>
          <a:chExt cx="1347825" cy="936531"/>
        </a:xfrm>
      </cdr:grpSpPr>
      <cdr:cxnSp>
        <cdr:nvCxnSpPr>
          <cdr:cNvPr id="3" name="直接箭头连接符 2"/>
          <cdr:cNvCxnSpPr/>
        </cdr:nvCxnSpPr>
        <cdr:spPr xmlns:a="http://schemas.openxmlformats.org/drawingml/2006/main">
          <a:xfrm xmlns:a="http://schemas.openxmlformats.org/drawingml/2006/main" rot="21160045" flipV="1">
            <a:off x="2472076" y="803781"/>
            <a:ext cx="1347825" cy="93653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369042">
            <a:off x="2879806" y="939811"/>
            <a:ext cx="491455" cy="650732"/>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chemeClr val="tx1"/>
                </a:solidFill>
                <a:latin typeface="Book Antiqua" panose="02040602050305030304" pitchFamily="1" charset="0"/>
                <a:ea typeface="宋体" panose="02010600030101010101" charset="-122"/>
              </a:rPr>
              <a:t>3.3%</a:t>
            </a:r>
            <a:endParaRPr lang="zh-CN" sz="800" baseline="0">
              <a:solidFill>
                <a:schemeClr val="tx1"/>
              </a:solidFill>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2023-12-12T06:45:14Z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79549F06F5D440FF8071E32094876D44_13</vt:lpwstr>
  </property>
</Properties>
</file>