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0.6 -->
  <w:body>
    <w:p>
      <w:pPr>
        <w:pStyle w:val="10"/>
        <w:keepNext/>
        <w:keepLines/>
        <w:widowControl w:val="0"/>
        <w:shd w:val="clear" w:color="auto" w:fill="auto"/>
        <w:bidi w:val="0"/>
        <w:spacing w:line="240" w:lineRule="auto"/>
        <w:ind w:right="0" w:firstLine="0"/>
        <w:jc w:val="left"/>
      </w:pPr>
      <w:bookmarkStart w:id="0" w:name="bookmark0"/>
      <w:bookmarkStart w:id="1" w:name="bookmark1"/>
      <w:bookmarkStart w:id="2" w:name="bookmark2"/>
      <w:r>
        <w:rPr>
          <w:color w:val="000000"/>
          <w:spacing w:val="0"/>
          <w:w w:val="100"/>
          <w:position w:val="0"/>
        </w:rPr>
        <w:t>税制构成要素</w:t>
      </w:r>
      <w:bookmarkEnd w:id="0"/>
      <w:bookmarkEnd w:id="1"/>
      <w:bookmarkEnd w:id="2"/>
    </w:p>
    <w:p>
      <w:pPr>
        <w:pStyle w:val="a1"/>
        <w:keepNext w:val="0"/>
        <w:keepLines w:val="0"/>
        <w:widowControl w:val="0"/>
        <w:shd w:val="clear" w:color="auto" w:fill="auto"/>
        <w:bidi w:val="0"/>
        <w:spacing w:before="0" w:after="160" w:line="417" w:lineRule="exact"/>
        <w:ind w:left="0" w:right="0" w:firstLine="520"/>
        <w:jc w:val="both"/>
      </w:pPr>
      <w:r>
        <w:rPr>
          <w:color w:val="000000"/>
          <w:spacing w:val="0"/>
          <w:w w:val="100"/>
          <w:position w:val="0"/>
          <w:sz w:val="24"/>
          <w:szCs w:val="24"/>
        </w:rPr>
        <w:t>税制构成要素是指税收实体法的组成要素，包括总则、纳税人、征税对象、税</w:t>
      </w:r>
      <w:r>
        <w:rPr>
          <w:rFonts w:ascii="Arial" w:eastAsia="Arial" w:hAnsi="Arial" w:cs="Arial"/>
          <w:color w:val="000000"/>
          <w:spacing w:val="0"/>
          <w:w w:val="100"/>
          <w:position w:val="0"/>
          <w:sz w:val="22"/>
          <w:szCs w:val="22"/>
        </w:rPr>
        <w:t>FI</w:t>
      </w:r>
      <w:r>
        <w:rPr>
          <w:color w:val="000000"/>
          <w:spacing w:val="0"/>
          <w:w w:val="100"/>
          <w:position w:val="0"/>
          <w:sz w:val="24"/>
          <w:szCs w:val="24"/>
        </w:rPr>
        <w:t>、</w:t>
      </w:r>
      <w:r>
        <w:rPr>
          <w:color w:val="000000"/>
          <w:spacing w:val="0"/>
          <w:w w:val="100"/>
          <w:position w:val="0"/>
          <w:sz w:val="24"/>
          <w:szCs w:val="24"/>
        </w:rPr>
        <w:t>税率、 纳税环节、纳税期限、纳税地点、减税免税、罚则、附则等项目。这里只对基本要素进行介 绍。</w:t>
      </w:r>
    </w:p>
    <w:p>
      <w:pPr>
        <w:pStyle w:val="a1"/>
        <w:keepNext w:val="0"/>
        <w:keepLines w:val="0"/>
        <w:widowControl w:val="0"/>
        <w:numPr>
          <w:ilvl w:val="0"/>
          <w:numId w:val="1"/>
        </w:numPr>
        <w:shd w:val="clear" w:color="auto" w:fill="auto"/>
        <w:tabs>
          <w:tab w:val="left" w:pos="856"/>
        </w:tabs>
        <w:bidi w:val="0"/>
        <w:spacing w:before="0" w:after="0" w:line="396" w:lineRule="auto"/>
        <w:ind w:left="0" w:right="0" w:firstLine="520"/>
        <w:jc w:val="both"/>
      </w:pPr>
      <w:bookmarkStart w:id="3" w:name="bookmark3"/>
      <w:bookmarkEnd w:id="3"/>
      <w:r>
        <w:rPr>
          <w:color w:val="000000"/>
          <w:spacing w:val="0"/>
          <w:w w:val="100"/>
          <w:position w:val="0"/>
          <w:sz w:val="24"/>
          <w:szCs w:val="24"/>
        </w:rPr>
        <w:t>纳税人</w:t>
      </w:r>
    </w:p>
    <w:p>
      <w:pPr>
        <w:pStyle w:val="a1"/>
        <w:keepNext w:val="0"/>
        <w:keepLines w:val="0"/>
        <w:widowControl w:val="0"/>
        <w:shd w:val="clear" w:color="auto" w:fill="auto"/>
        <w:bidi w:val="0"/>
        <w:spacing w:before="0" w:after="0" w:line="417" w:lineRule="exact"/>
        <w:ind w:left="0" w:right="0" w:firstLine="520"/>
        <w:jc w:val="both"/>
      </w:pPr>
      <w:r>
        <w:rPr>
          <w:color w:val="000000"/>
          <w:spacing w:val="0"/>
          <w:w w:val="100"/>
          <w:position w:val="0"/>
          <w:sz w:val="24"/>
          <w:szCs w:val="24"/>
        </w:rPr>
        <w:t>纳税人是指税法规定直接负有纳税义务的单位和个人，也称纳税主体，它规定了税款的 法律承担者。纳税人可以是自然人，也可以是法人。自然人和法人若有税法规定的应税财产、 收入和特定行为，就对国家负有纳税义务。应注意纳税人与负税人、扣缴义务人的区别。</w:t>
      </w:r>
    </w:p>
    <w:p>
      <w:pPr>
        <w:pStyle w:val="a1"/>
        <w:keepNext w:val="0"/>
        <w:keepLines w:val="0"/>
        <w:widowControl w:val="0"/>
        <w:shd w:val="clear" w:color="auto" w:fill="auto"/>
        <w:bidi w:val="0"/>
        <w:spacing w:before="0" w:after="0" w:line="417" w:lineRule="exact"/>
        <w:ind w:left="0" w:right="0" w:firstLine="520"/>
        <w:jc w:val="both"/>
      </w:pPr>
      <w:r>
        <w:rPr>
          <w:color w:val="000000"/>
          <w:spacing w:val="0"/>
          <w:w w:val="100"/>
          <w:position w:val="0"/>
          <w:sz w:val="24"/>
          <w:szCs w:val="24"/>
        </w:rPr>
        <w:t>负税人是指税收负担的最终承担者。纳税人与负税人可能•致，也可能不•致。当某- 税种的税负可以转嫁时，该税种的纳税人与负税人不一致，该税种为间接税。如果某一税种 的纳税人和负税人一致，则说明该税种是不能转嫁的，该税种为直接税。</w:t>
      </w:r>
    </w:p>
    <w:p>
      <w:pPr>
        <w:pStyle w:val="a1"/>
        <w:keepNext w:val="0"/>
        <w:keepLines w:val="0"/>
        <w:widowControl w:val="0"/>
        <w:shd w:val="clear" w:color="auto" w:fill="auto"/>
        <w:bidi w:val="0"/>
        <w:spacing w:before="0" w:after="0" w:line="417" w:lineRule="exact"/>
        <w:ind w:left="0" w:right="0" w:firstLine="620"/>
        <w:jc w:val="both"/>
      </w:pPr>
      <w:r>
        <w:rPr>
          <w:color w:val="000000"/>
          <w:spacing w:val="0"/>
          <w:w w:val="100"/>
          <w:position w:val="0"/>
          <w:sz w:val="24"/>
          <w:szCs w:val="24"/>
        </w:rPr>
        <w:t>【文本】专题材料：取消农业税后农民依然是负税人</w:t>
      </w:r>
    </w:p>
    <w:p>
      <w:pPr>
        <w:pStyle w:val="a1"/>
        <w:keepNext w:val="0"/>
        <w:keepLines w:val="0"/>
        <w:widowControl w:val="0"/>
        <w:shd w:val="clear" w:color="auto" w:fill="auto"/>
        <w:bidi w:val="0"/>
        <w:spacing w:before="0" w:after="0" w:line="417" w:lineRule="exact"/>
        <w:ind w:left="0" w:right="0" w:firstLine="520"/>
        <w:jc w:val="both"/>
      </w:pPr>
      <w:r>
        <w:rPr>
          <w:color w:val="000000"/>
          <w:spacing w:val="0"/>
          <w:w w:val="100"/>
          <w:position w:val="0"/>
          <w:sz w:val="24"/>
          <w:szCs w:val="24"/>
        </w:rPr>
        <w:t>扣缴义务人是指按照税法规定负有扣缴税款义务的单位和个人。扣缴义务人不是纳税主 体，而是纳税人和税务机关的中介，应按税务机关和税法的要求认真履行扣缴税款义务。扣 缴义务人可分为代扣代缴义务人和代收代缴义务人。代扣代缴义务人是指有义务在向纳税人 支付款项时扣除应纳税款并代为缴纳的单位或个人。代收代缴义务人则是指有义务在向纳税 人收取款项时同时收取应纳税款并代为缴纳的单位或个人。</w:t>
      </w:r>
    </w:p>
    <w:p>
      <w:pPr>
        <w:pStyle w:val="a1"/>
        <w:keepNext w:val="0"/>
        <w:keepLines w:val="0"/>
        <w:widowControl w:val="0"/>
        <w:numPr>
          <w:ilvl w:val="0"/>
          <w:numId w:val="1"/>
        </w:numPr>
        <w:shd w:val="clear" w:color="auto" w:fill="auto"/>
        <w:tabs>
          <w:tab w:val="left" w:pos="879"/>
        </w:tabs>
        <w:bidi w:val="0"/>
        <w:spacing w:before="0" w:after="0" w:line="417" w:lineRule="exact"/>
        <w:ind w:left="0" w:right="0" w:firstLine="520"/>
        <w:jc w:val="both"/>
      </w:pPr>
      <w:bookmarkStart w:id="4" w:name="bookmark4"/>
      <w:bookmarkEnd w:id="4"/>
      <w:r>
        <w:rPr>
          <w:color w:val="000000"/>
          <w:spacing w:val="0"/>
          <w:w w:val="100"/>
          <w:position w:val="0"/>
          <w:sz w:val="24"/>
          <w:szCs w:val="24"/>
        </w:rPr>
        <w:t>征税对象</w:t>
      </w:r>
    </w:p>
    <w:p>
      <w:pPr>
        <w:pStyle w:val="a1"/>
        <w:keepNext w:val="0"/>
        <w:keepLines w:val="0"/>
        <w:widowControl w:val="0"/>
        <w:shd w:val="clear" w:color="auto" w:fill="auto"/>
        <w:bidi w:val="0"/>
        <w:spacing w:before="0" w:after="0" w:line="417" w:lineRule="exact"/>
        <w:ind w:left="0" w:right="0" w:firstLine="520"/>
        <w:jc w:val="both"/>
      </w:pPr>
      <w:r>
        <w:rPr>
          <w:color w:val="000000"/>
          <w:spacing w:val="0"/>
          <w:w w:val="100"/>
          <w:position w:val="0"/>
          <w:sz w:val="24"/>
          <w:szCs w:val="24"/>
        </w:rPr>
        <w:t>征税对象乂称课税对象，是征税的目的物，即对什么东西征税，它是一种税区别于另一 种税的主要标志。征税对象体现不同税种征税的基本界限，决定着不同税种名称的由来以及 各税种在性质上的差别。比如，流转税的征税对象是商品流通过程中的流转额，所得税的征 税对象则是所得额。</w:t>
      </w:r>
    </w:p>
    <w:p>
      <w:pPr>
        <w:pStyle w:val="a1"/>
        <w:keepNext w:val="0"/>
        <w:keepLines w:val="0"/>
        <w:widowControl w:val="0"/>
        <w:shd w:val="clear" w:color="auto" w:fill="auto"/>
        <w:bidi w:val="0"/>
        <w:spacing w:before="0" w:after="160" w:line="417" w:lineRule="exact"/>
        <w:ind w:left="0" w:right="0" w:firstLine="520"/>
        <w:jc w:val="both"/>
      </w:pPr>
      <w:r>
        <w:rPr>
          <w:color w:val="000000"/>
          <w:spacing w:val="0"/>
          <w:w w:val="100"/>
          <w:position w:val="0"/>
          <w:sz w:val="24"/>
          <w:szCs w:val="24"/>
        </w:rPr>
        <w:t>计税依据是征税对象的数量化，也是应纳税额计算的基础。从价计征的税收，以计税金 额为计税依据；从量计征的税收，以征税对象的数量、容积、体积为计税依据；复合计征的 税收，同时以计税金额和计税数量为计税依据。</w:t>
      </w:r>
    </w:p>
    <w:p>
      <w:pPr>
        <w:pStyle w:val="a1"/>
        <w:keepNext w:val="0"/>
        <w:keepLines w:val="0"/>
        <w:widowControl w:val="0"/>
        <w:numPr>
          <w:ilvl w:val="0"/>
          <w:numId w:val="1"/>
        </w:numPr>
        <w:shd w:val="clear" w:color="auto" w:fill="auto"/>
        <w:tabs>
          <w:tab w:val="left" w:pos="879"/>
        </w:tabs>
        <w:bidi w:val="0"/>
        <w:spacing w:before="0" w:after="0" w:line="396" w:lineRule="auto"/>
        <w:ind w:left="0" w:right="0" w:firstLine="520"/>
        <w:jc w:val="both"/>
      </w:pPr>
      <w:bookmarkStart w:id="5" w:name="bookmark5"/>
      <w:bookmarkEnd w:id="5"/>
      <w:r>
        <w:rPr>
          <w:color w:val="000000"/>
          <w:spacing w:val="0"/>
          <w:w w:val="100"/>
          <w:position w:val="0"/>
          <w:sz w:val="24"/>
          <w:szCs w:val="24"/>
        </w:rPr>
        <w:t>税目</w:t>
      </w:r>
    </w:p>
    <w:p>
      <w:pPr>
        <w:pStyle w:val="a1"/>
        <w:keepNext w:val="0"/>
        <w:keepLines w:val="0"/>
        <w:widowControl w:val="0"/>
        <w:shd w:val="clear" w:color="auto" w:fill="auto"/>
        <w:bidi w:val="0"/>
        <w:spacing w:before="0" w:after="160" w:line="417" w:lineRule="exact"/>
        <w:ind w:left="0" w:right="0" w:firstLine="520"/>
        <w:jc w:val="both"/>
      </w:pPr>
      <w:r>
        <w:rPr>
          <w:color w:val="000000"/>
          <w:spacing w:val="0"/>
          <w:w w:val="100"/>
          <w:position w:val="0"/>
          <w:sz w:val="24"/>
          <w:szCs w:val="24"/>
        </w:rPr>
        <w:t>税目是征税对象的具体化，反映各税种具体的征税项目，体现每个税种的征税广度。并 非所有的税种都规定税目，对那些征税对象简单明确的税种，如增值税、房产税等，就不必 另行规定税目。对大多数税种，由于征税对象比较复杂，而且对税种内部不同征税对象又需 要采取不同的税率档次进行调节，这样就需要对税种的征税对象作进一步划分，作出具体的 界限规定，这个规定的界限范围就是税目。比如，消费税按应税消费品种类划分为</w:t>
      </w:r>
      <w:r>
        <w:rPr>
          <w:rFonts w:ascii="Arial" w:eastAsia="Arial" w:hAnsi="Arial" w:cs="Arial"/>
          <w:color w:val="000000"/>
          <w:spacing w:val="0"/>
          <w:w w:val="100"/>
          <w:position w:val="0"/>
          <w:sz w:val="22"/>
          <w:szCs w:val="22"/>
        </w:rPr>
        <w:t>15</w:t>
      </w:r>
      <w:r>
        <w:rPr>
          <w:color w:val="000000"/>
          <w:spacing w:val="0"/>
          <w:w w:val="100"/>
          <w:position w:val="0"/>
          <w:sz w:val="24"/>
          <w:szCs w:val="24"/>
        </w:rPr>
        <w:t>个税 目。</w:t>
      </w:r>
    </w:p>
    <w:p>
      <w:pPr>
        <w:pStyle w:val="a1"/>
        <w:keepNext w:val="0"/>
        <w:keepLines w:val="0"/>
        <w:widowControl w:val="0"/>
        <w:numPr>
          <w:ilvl w:val="0"/>
          <w:numId w:val="1"/>
        </w:numPr>
        <w:shd w:val="clear" w:color="auto" w:fill="auto"/>
        <w:tabs>
          <w:tab w:val="left" w:pos="886"/>
        </w:tabs>
        <w:bidi w:val="0"/>
        <w:spacing w:before="0" w:after="0" w:line="396" w:lineRule="auto"/>
        <w:ind w:left="0" w:right="0" w:firstLine="520"/>
        <w:jc w:val="both"/>
      </w:pPr>
      <w:bookmarkStart w:id="6" w:name="bookmark6"/>
      <w:bookmarkEnd w:id="6"/>
      <w:r>
        <w:rPr>
          <w:color w:val="000000"/>
          <w:spacing w:val="0"/>
          <w:w w:val="100"/>
          <w:position w:val="0"/>
          <w:sz w:val="24"/>
          <w:szCs w:val="24"/>
        </w:rPr>
        <w:t>税率</w:t>
      </w:r>
    </w:p>
    <w:p>
      <w:pPr>
        <w:pStyle w:val="a1"/>
        <w:keepNext w:val="0"/>
        <w:keepLines w:val="0"/>
        <w:widowControl w:val="0"/>
        <w:shd w:val="clear" w:color="auto" w:fill="auto"/>
        <w:bidi w:val="0"/>
        <w:spacing w:before="0" w:after="0" w:line="416" w:lineRule="exact"/>
        <w:ind w:left="0" w:right="0" w:firstLine="520"/>
        <w:jc w:val="both"/>
      </w:pPr>
      <w:r>
        <w:rPr>
          <w:color w:val="000000"/>
          <w:spacing w:val="0"/>
          <w:w w:val="100"/>
          <w:position w:val="0"/>
          <w:sz w:val="24"/>
          <w:szCs w:val="24"/>
        </w:rPr>
        <w:t>税率是应纳税额与计税依据之间的法定比例，是计算应纳税额的尺度，体现了征税的深 度。每种税的税率高低，反映国家在一定时期的有关经济政策，直接关系国家财政收入的多 少和纳税人税收负担的大小。因此税率是体现税收政策的中心环节，是构成税制的基本要素。</w:t>
      </w:r>
    </w:p>
    <w:p>
      <w:pPr>
        <w:pStyle w:val="a1"/>
        <w:keepNext w:val="0"/>
        <w:keepLines w:val="0"/>
        <w:widowControl w:val="0"/>
        <w:shd w:val="clear" w:color="auto" w:fill="auto"/>
        <w:bidi w:val="0"/>
        <w:spacing w:before="0" w:after="0" w:line="416" w:lineRule="exact"/>
        <w:ind w:left="0" w:right="0" w:firstLine="520"/>
        <w:jc w:val="both"/>
      </w:pPr>
      <w:r>
        <w:rPr>
          <w:color w:val="000000"/>
          <w:spacing w:val="0"/>
          <w:w w:val="100"/>
          <w:position w:val="0"/>
          <w:sz w:val="24"/>
          <w:szCs w:val="24"/>
        </w:rPr>
        <w:t>按照税率的表现形式，税率可以分为以绝对量形式表示的税率和以百分比形式表示的税 率，我国目前主要有以下几种：</w:t>
      </w:r>
    </w:p>
    <w:p>
      <w:pPr>
        <w:pStyle w:val="a1"/>
        <w:keepNext w:val="0"/>
        <w:keepLines w:val="0"/>
        <w:widowControl w:val="0"/>
        <w:numPr>
          <w:ilvl w:val="0"/>
          <w:numId w:val="2"/>
        </w:numPr>
        <w:shd w:val="clear" w:color="auto" w:fill="auto"/>
        <w:bidi w:val="0"/>
        <w:spacing w:before="0" w:after="0" w:line="416" w:lineRule="exact"/>
        <w:ind w:left="0" w:right="0" w:firstLine="640"/>
        <w:jc w:val="both"/>
      </w:pPr>
      <w:bookmarkStart w:id="7" w:name="bookmark7"/>
      <w:bookmarkEnd w:id="7"/>
      <w:r>
        <w:rPr>
          <w:color w:val="000000"/>
          <w:spacing w:val="0"/>
          <w:w w:val="100"/>
          <w:position w:val="0"/>
          <w:sz w:val="24"/>
          <w:szCs w:val="24"/>
        </w:rPr>
        <w:t>比例税率。比例税率是指对同一征税对象，不论金额大小都按同一比例纳税，税 额与征税对象之间的比例是固定的。比如，增值税的基本税率为</w:t>
      </w:r>
      <w:r>
        <w:rPr>
          <w:rFonts w:ascii="Arial" w:eastAsia="Arial" w:hAnsi="Arial" w:cs="Arial"/>
          <w:color w:val="000000"/>
          <w:spacing w:val="0"/>
          <w:w w:val="100"/>
          <w:position w:val="0"/>
          <w:sz w:val="22"/>
          <w:szCs w:val="22"/>
        </w:rPr>
        <w:t>17%,</w:t>
      </w:r>
      <w:r>
        <w:rPr>
          <w:color w:val="000000"/>
          <w:spacing w:val="0"/>
          <w:w w:val="100"/>
          <w:position w:val="0"/>
          <w:sz w:val="24"/>
          <w:szCs w:val="24"/>
        </w:rPr>
        <w:t xml:space="preserve">企业所得税的基本税 </w:t>
      </w:r>
      <w:r>
        <w:rPr>
          <w:color w:val="000000"/>
          <w:spacing w:val="0"/>
          <w:w w:val="100"/>
          <w:position w:val="0"/>
          <w:sz w:val="24"/>
          <w:szCs w:val="24"/>
        </w:rPr>
        <w:t>率为</w:t>
      </w:r>
      <w:r>
        <w:rPr>
          <w:rFonts w:ascii="Arial" w:eastAsia="Arial" w:hAnsi="Arial" w:cs="Arial"/>
          <w:color w:val="000000"/>
          <w:spacing w:val="0"/>
          <w:w w:val="100"/>
          <w:position w:val="0"/>
          <w:sz w:val="22"/>
          <w:szCs w:val="22"/>
        </w:rPr>
        <w:t>25%</w:t>
      </w:r>
      <w:r>
        <w:rPr>
          <w:color w:val="000000"/>
          <w:spacing w:val="0"/>
          <w:w w:val="100"/>
          <w:position w:val="0"/>
          <w:sz w:val="24"/>
          <w:szCs w:val="24"/>
        </w:rPr>
        <w:t>。</w:t>
      </w:r>
    </w:p>
    <w:p>
      <w:pPr>
        <w:pStyle w:val="a1"/>
        <w:keepNext w:val="0"/>
        <w:keepLines w:val="0"/>
        <w:widowControl w:val="0"/>
        <w:shd w:val="clear" w:color="auto" w:fill="auto"/>
        <w:bidi w:val="0"/>
        <w:spacing w:before="0" w:after="0" w:line="417" w:lineRule="exact"/>
        <w:ind w:left="0" w:right="0" w:firstLine="500"/>
        <w:jc w:val="both"/>
      </w:pPr>
      <w:r>
        <w:rPr>
          <w:color w:val="000000"/>
          <w:spacing w:val="0"/>
          <w:w w:val="100"/>
          <w:position w:val="0"/>
          <w:sz w:val="24"/>
          <w:szCs w:val="24"/>
        </w:rPr>
        <w:t>比例税率的优点是：对同一征税对象的不同纳税人的税收负担相同，有利于在大体相同 的条件下开展竞争，而且计算方便，也便于税收稽征管理。主要缺点是：不分纳税人的环境、 条件差异及收入等，都按同</w:t>
      </w:r>
      <w:r>
        <w:rPr>
          <w:color w:val="000000"/>
          <w:spacing w:val="0"/>
          <w:w w:val="100"/>
          <w:position w:val="0"/>
          <w:sz w:val="24"/>
          <w:szCs w:val="24"/>
        </w:rPr>
        <w:t>一</w:t>
      </w:r>
      <w:r>
        <w:rPr>
          <w:color w:val="000000"/>
          <w:spacing w:val="0"/>
          <w:w w:val="100"/>
          <w:position w:val="0"/>
          <w:sz w:val="24"/>
          <w:szCs w:val="24"/>
        </w:rPr>
        <w:t>税率征税，这与纳税人的实际负担能力不完全相符，具有-•定 的局限性。</w:t>
      </w:r>
    </w:p>
    <w:p>
      <w:pPr>
        <w:pStyle w:val="a1"/>
        <w:keepNext w:val="0"/>
        <w:keepLines w:val="0"/>
        <w:widowControl w:val="0"/>
        <w:shd w:val="clear" w:color="auto" w:fill="auto"/>
        <w:tabs>
          <w:tab w:val="left" w:pos="1152"/>
        </w:tabs>
        <w:bidi w:val="0"/>
        <w:spacing w:before="0" w:after="0" w:line="417" w:lineRule="exact"/>
        <w:ind w:left="0" w:right="0" w:firstLine="620"/>
        <w:jc w:val="both"/>
      </w:pPr>
      <w:bookmarkStart w:id="8" w:name="bookmark8"/>
      <w:r>
        <w:rPr>
          <w:rFonts w:ascii="Arial Unicode MS" w:eastAsia="Arial Unicode MS" w:hAnsi="Arial Unicode MS" w:cs="Arial Unicode MS"/>
          <w:color w:val="000000"/>
          <w:spacing w:val="0"/>
          <w:w w:val="100"/>
          <w:position w:val="0"/>
          <w:sz w:val="22"/>
          <w:szCs w:val="22"/>
        </w:rPr>
        <w:t>（</w:t>
      </w:r>
      <w:bookmarkEnd w:id="8"/>
      <w:r>
        <w:rPr>
          <w:rFonts w:ascii="Arial" w:eastAsia="Arial" w:hAnsi="Arial" w:cs="Arial"/>
          <w:color w:val="000000"/>
          <w:spacing w:val="0"/>
          <w:w w:val="100"/>
          <w:position w:val="0"/>
          <w:sz w:val="22"/>
          <w:szCs w:val="22"/>
        </w:rPr>
        <w:t>2）</w:t>
      </w:r>
      <w:r>
        <w:rPr>
          <w:color w:val="000000"/>
          <w:spacing w:val="0"/>
          <w:w w:val="100"/>
          <w:position w:val="0"/>
          <w:sz w:val="24"/>
          <w:szCs w:val="24"/>
        </w:rPr>
        <w:t>定额税率。定额税率是对单位征税对象规定固定的税额，是税率的一种特殊形式, 一般适用于从量计征的税种。比如，消费税中黄酒的税率为</w:t>
      </w:r>
      <w:r>
        <w:rPr>
          <w:rFonts w:ascii="Arial" w:eastAsia="Arial" w:hAnsi="Arial" w:cs="Arial"/>
          <w:color w:val="000000"/>
          <w:spacing w:val="0"/>
          <w:w w:val="100"/>
          <w:position w:val="0"/>
          <w:sz w:val="22"/>
          <w:szCs w:val="22"/>
        </w:rPr>
        <w:t>240</w:t>
      </w:r>
      <w:r>
        <w:rPr>
          <w:color w:val="000000"/>
          <w:spacing w:val="0"/>
          <w:w w:val="100"/>
          <w:position w:val="0"/>
          <w:sz w:val="24"/>
          <w:szCs w:val="24"/>
        </w:rPr>
        <w:t>元/吨，印花税中权利许可 证照的税率为</w:t>
      </w:r>
      <w:r>
        <w:rPr>
          <w:rFonts w:ascii="Arial" w:eastAsia="Arial" w:hAnsi="Arial" w:cs="Arial"/>
          <w:color w:val="000000"/>
          <w:spacing w:val="0"/>
          <w:w w:val="100"/>
          <w:position w:val="0"/>
          <w:sz w:val="22"/>
          <w:szCs w:val="22"/>
        </w:rPr>
        <w:t>5</w:t>
      </w:r>
      <w:r>
        <w:rPr>
          <w:color w:val="000000"/>
          <w:spacing w:val="0"/>
          <w:w w:val="100"/>
          <w:position w:val="0"/>
          <w:sz w:val="24"/>
          <w:szCs w:val="24"/>
        </w:rPr>
        <w:t>元/件。</w:t>
      </w:r>
    </w:p>
    <w:p>
      <w:pPr>
        <w:pStyle w:val="a1"/>
        <w:keepNext w:val="0"/>
        <w:keepLines w:val="0"/>
        <w:widowControl w:val="0"/>
        <w:shd w:val="clear" w:color="auto" w:fill="auto"/>
        <w:bidi w:val="0"/>
        <w:spacing w:before="0" w:after="0" w:line="417" w:lineRule="exact"/>
        <w:ind w:left="0" w:right="0" w:firstLine="500"/>
        <w:jc w:val="both"/>
      </w:pPr>
      <w:r>
        <w:rPr>
          <w:color w:val="000000"/>
          <w:spacing w:val="0"/>
          <w:w w:val="100"/>
          <w:position w:val="0"/>
          <w:sz w:val="24"/>
          <w:szCs w:val="24"/>
        </w:rPr>
        <w:t>定额税率的特点是税率与征税对象的价值量脱离了联系，不受征税对象价值量的影响。</w:t>
      </w:r>
    </w:p>
    <w:p>
      <w:pPr>
        <w:pStyle w:val="a1"/>
        <w:keepNext w:val="0"/>
        <w:keepLines w:val="0"/>
        <w:widowControl w:val="0"/>
        <w:shd w:val="clear" w:color="auto" w:fill="auto"/>
        <w:tabs>
          <w:tab w:val="left" w:pos="1152"/>
        </w:tabs>
        <w:bidi w:val="0"/>
        <w:spacing w:before="0" w:after="0" w:line="417" w:lineRule="exact"/>
        <w:ind w:left="0" w:right="0" w:firstLine="620"/>
        <w:jc w:val="both"/>
      </w:pPr>
      <w:bookmarkStart w:id="9" w:name="bookmark9"/>
      <w:r>
        <w:rPr>
          <w:rFonts w:ascii="Arial Unicode MS" w:eastAsia="Arial Unicode MS" w:hAnsi="Arial Unicode MS" w:cs="Arial Unicode MS"/>
          <w:color w:val="000000"/>
          <w:spacing w:val="0"/>
          <w:w w:val="100"/>
          <w:position w:val="0"/>
          <w:sz w:val="22"/>
          <w:szCs w:val="22"/>
        </w:rPr>
        <w:t>（</w:t>
      </w:r>
      <w:bookmarkEnd w:id="9"/>
      <w:r>
        <w:rPr>
          <w:rFonts w:ascii="Arial" w:eastAsia="Arial" w:hAnsi="Arial" w:cs="Arial"/>
          <w:color w:val="000000"/>
          <w:spacing w:val="0"/>
          <w:w w:val="100"/>
          <w:position w:val="0"/>
          <w:sz w:val="22"/>
          <w:szCs w:val="22"/>
        </w:rPr>
        <w:t>3）</w:t>
      </w:r>
      <w:r>
        <w:rPr>
          <w:color w:val="000000"/>
          <w:spacing w:val="0"/>
          <w:w w:val="100"/>
          <w:position w:val="0"/>
          <w:sz w:val="24"/>
          <w:szCs w:val="24"/>
        </w:rPr>
        <w:t>累进税率。累进税率是按征税对象的多少划分若干级距，并从低到高分别制定各 等级税率，征税对象数额越大，税率越高。这种税率形式既可适应纳税人的负担能力，又便 于充分发挥调节纳税人收入水平的作用，较比例税率更符合税收的公平要求，一般适用于对 所得和财产的征税。</w:t>
      </w:r>
    </w:p>
    <w:p>
      <w:pPr>
        <w:pStyle w:val="a1"/>
        <w:keepNext w:val="0"/>
        <w:keepLines w:val="0"/>
        <w:widowControl w:val="0"/>
        <w:shd w:val="clear" w:color="auto" w:fill="auto"/>
        <w:bidi w:val="0"/>
        <w:spacing w:before="0" w:after="0" w:line="417" w:lineRule="exact"/>
        <w:ind w:left="0" w:right="0" w:firstLine="500"/>
        <w:jc w:val="both"/>
      </w:pPr>
      <w:r>
        <w:rPr>
          <w:color w:val="000000"/>
          <w:spacing w:val="0"/>
          <w:w w:val="100"/>
          <w:position w:val="0"/>
          <w:sz w:val="24"/>
          <w:szCs w:val="24"/>
        </w:rPr>
        <w:t>按照累进依据和累进方式不同，累进税率可分为全额累进、超额累进、超率累进等类型。</w:t>
      </w:r>
    </w:p>
    <w:p>
      <w:pPr>
        <w:pStyle w:val="a1"/>
        <w:keepNext w:val="0"/>
        <w:keepLines w:val="0"/>
        <w:widowControl w:val="0"/>
        <w:numPr>
          <w:ilvl w:val="0"/>
          <w:numId w:val="3"/>
        </w:numPr>
        <w:shd w:val="clear" w:color="auto" w:fill="auto"/>
        <w:tabs>
          <w:tab w:val="left" w:pos="905"/>
        </w:tabs>
        <w:bidi w:val="0"/>
        <w:spacing w:before="0" w:after="0" w:line="417" w:lineRule="exact"/>
        <w:ind w:left="0" w:right="0" w:firstLine="500"/>
        <w:jc w:val="both"/>
      </w:pPr>
      <w:bookmarkStart w:id="10" w:name="bookmark10"/>
      <w:bookmarkEnd w:id="10"/>
      <w:r>
        <w:rPr>
          <w:color w:val="000000"/>
          <w:spacing w:val="0"/>
          <w:w w:val="100"/>
          <w:position w:val="0"/>
          <w:sz w:val="24"/>
          <w:szCs w:val="24"/>
        </w:rPr>
        <w:t>全额累进税率是对征税对象的全部数额，均按与之相适应等级的累进税率计算纳税, 当征税对象提高到•个新的级距时，对其全额都提高到•级新的与之相适应的税率计算纳 税。其计算方法简单，但存在累进分界点上税负呈跳跃式递增，税负不尽合理的弊端。</w:t>
      </w:r>
    </w:p>
    <w:p>
      <w:pPr>
        <w:pStyle w:val="a1"/>
        <w:keepNext w:val="0"/>
        <w:keepLines w:val="0"/>
        <w:widowControl w:val="0"/>
        <w:numPr>
          <w:ilvl w:val="0"/>
          <w:numId w:val="3"/>
        </w:numPr>
        <w:shd w:val="clear" w:color="auto" w:fill="auto"/>
        <w:tabs>
          <w:tab w:val="left" w:pos="905"/>
        </w:tabs>
        <w:bidi w:val="0"/>
        <w:spacing w:before="0" w:after="0" w:line="417" w:lineRule="exact"/>
        <w:ind w:left="0" w:right="0" w:firstLine="500"/>
        <w:jc w:val="both"/>
      </w:pPr>
      <w:bookmarkStart w:id="11" w:name="bookmark11"/>
      <w:bookmarkEnd w:id="11"/>
      <w:r>
        <w:rPr>
          <w:color w:val="000000"/>
          <w:spacing w:val="0"/>
          <w:w w:val="100"/>
          <w:position w:val="0"/>
          <w:sz w:val="24"/>
          <w:szCs w:val="24"/>
        </w:rPr>
        <w:t>超额累进税率是把征税对象按数额大小划分为若干等级，从低到高对每个等级分别规 定相应的税率，一定数额的征税对象可以同时适用几个等级的对应税率，每超过一级，超过 部分按提高一级的税率计税，分别计算各等级税额，各等级应纳税额之和，就是纳税人的应 纳税额。其累进程度比较缓和，在计算上比较复杂。比如，目前我国个人所得税中工资薪金 所得的税率采用的就是</w:t>
      </w:r>
      <w:r>
        <w:rPr>
          <w:rFonts w:ascii="Arial" w:eastAsia="Arial" w:hAnsi="Arial" w:cs="Arial"/>
          <w:color w:val="000000"/>
          <w:spacing w:val="0"/>
          <w:w w:val="100"/>
          <w:position w:val="0"/>
          <w:sz w:val="22"/>
          <w:szCs w:val="22"/>
        </w:rPr>
        <w:t>3%</w:t>
      </w:r>
      <w:r>
        <w:rPr>
          <w:rFonts w:ascii="Arial Unicode MS" w:eastAsia="Arial Unicode MS" w:hAnsi="Arial Unicode MS" w:cs="Arial Unicode MS"/>
          <w:color w:val="000000"/>
          <w:spacing w:val="0"/>
          <w:w w:val="100"/>
          <w:position w:val="0"/>
          <w:sz w:val="22"/>
          <w:szCs w:val="22"/>
        </w:rPr>
        <w:t>〜</w:t>
      </w:r>
      <w:r>
        <w:rPr>
          <w:rFonts w:ascii="Arial" w:eastAsia="Arial" w:hAnsi="Arial" w:cs="Arial"/>
          <w:color w:val="000000"/>
          <w:spacing w:val="0"/>
          <w:w w:val="100"/>
          <w:position w:val="0"/>
          <w:sz w:val="22"/>
          <w:szCs w:val="22"/>
        </w:rPr>
        <w:t>45%</w:t>
      </w:r>
      <w:r>
        <w:rPr>
          <w:color w:val="000000"/>
          <w:spacing w:val="0"/>
          <w:w w:val="100"/>
          <w:position w:val="0"/>
          <w:sz w:val="24"/>
          <w:szCs w:val="24"/>
        </w:rPr>
        <w:t>的七级超额累进税率。</w:t>
      </w:r>
    </w:p>
    <w:p>
      <w:pPr>
        <w:pStyle w:val="a1"/>
        <w:keepNext w:val="0"/>
        <w:keepLines w:val="0"/>
        <w:widowControl w:val="0"/>
        <w:numPr>
          <w:ilvl w:val="0"/>
          <w:numId w:val="3"/>
        </w:numPr>
        <w:shd w:val="clear" w:color="auto" w:fill="auto"/>
        <w:tabs>
          <w:tab w:val="left" w:pos="905"/>
        </w:tabs>
        <w:bidi w:val="0"/>
        <w:spacing w:before="0" w:after="0" w:line="417" w:lineRule="exact"/>
        <w:ind w:left="0" w:right="0" w:firstLine="500"/>
        <w:jc w:val="both"/>
      </w:pPr>
      <w:bookmarkStart w:id="12" w:name="bookmark12"/>
      <w:bookmarkEnd w:id="12"/>
      <w:r>
        <w:rPr>
          <w:color w:val="000000"/>
          <w:spacing w:val="0"/>
          <w:w w:val="100"/>
          <w:position w:val="0"/>
          <w:sz w:val="24"/>
          <w:szCs w:val="24"/>
        </w:rPr>
        <w:t>超率累进税率：是以征税对象的某种比率为累进依据，按超率累进方式计算应纳税额 的税率。它与超额累进税率在原理上相同，不过税率累进的依据不是绝对数，而是销售利润 率、增值求等相对数。比如，目前我国土地增值税采用的四级超率累进税率就是以增值率.作 为税率累进依据的。</w:t>
      </w:r>
    </w:p>
    <w:p>
      <w:pPr>
        <w:pStyle w:val="a1"/>
        <w:keepNext w:val="0"/>
        <w:keepLines w:val="0"/>
        <w:widowControl w:val="0"/>
        <w:numPr>
          <w:ilvl w:val="0"/>
          <w:numId w:val="1"/>
        </w:numPr>
        <w:shd w:val="clear" w:color="auto" w:fill="auto"/>
        <w:tabs>
          <w:tab w:val="left" w:pos="820"/>
        </w:tabs>
        <w:bidi w:val="0"/>
        <w:spacing w:before="0" w:after="0" w:line="417" w:lineRule="exact"/>
        <w:ind w:left="0" w:right="0" w:firstLine="500"/>
        <w:jc w:val="both"/>
      </w:pPr>
      <w:bookmarkStart w:id="13" w:name="bookmark13"/>
      <w:bookmarkEnd w:id="13"/>
      <w:r>
        <w:rPr>
          <w:color w:val="000000"/>
          <w:spacing w:val="0"/>
          <w:w w:val="100"/>
          <w:position w:val="0"/>
          <w:sz w:val="24"/>
          <w:szCs w:val="24"/>
        </w:rPr>
        <w:t>纳税环节</w:t>
      </w:r>
    </w:p>
    <w:p>
      <w:pPr>
        <w:pStyle w:val="a1"/>
        <w:keepNext w:val="0"/>
        <w:keepLines w:val="0"/>
        <w:widowControl w:val="0"/>
        <w:shd w:val="clear" w:color="auto" w:fill="auto"/>
        <w:bidi w:val="0"/>
        <w:spacing w:before="0" w:after="0" w:line="417" w:lineRule="exact"/>
        <w:ind w:left="0" w:right="0" w:firstLine="500"/>
        <w:jc w:val="both"/>
      </w:pPr>
      <w:r>
        <w:rPr>
          <w:color w:val="000000"/>
          <w:spacing w:val="0"/>
          <w:w w:val="100"/>
          <w:position w:val="0"/>
          <w:sz w:val="24"/>
          <w:szCs w:val="24"/>
        </w:rPr>
        <w:t>纳税环节是指对处于不断运动中的纳税对象选定的应当缴纳税款的环节。每个税种都有 其特定的纳税环节，有的纳税环节单一，有的需要在不同环节分别纳税。凡只在一个环节纳 税的称为“一次课征制”，比如，我国的资源税只在开采环节征税；凡在两个环节征税的称 为“两次课征制”；凡在两个以上环节征税的称为“多次课征制”，比如，我国的增值税在商 品流通的铮一个环节都要纳税。</w:t>
      </w:r>
    </w:p>
    <w:p>
      <w:pPr>
        <w:pStyle w:val="a1"/>
        <w:keepNext w:val="0"/>
        <w:keepLines w:val="0"/>
        <w:widowControl w:val="0"/>
        <w:numPr>
          <w:ilvl w:val="0"/>
          <w:numId w:val="1"/>
        </w:numPr>
        <w:shd w:val="clear" w:color="auto" w:fill="auto"/>
        <w:tabs>
          <w:tab w:val="left" w:pos="827"/>
        </w:tabs>
        <w:bidi w:val="0"/>
        <w:spacing w:before="0" w:after="0" w:line="417" w:lineRule="exact"/>
        <w:ind w:left="0" w:right="0" w:firstLine="500"/>
        <w:jc w:val="both"/>
      </w:pPr>
      <w:bookmarkStart w:id="14" w:name="bookmark14"/>
      <w:bookmarkEnd w:id="14"/>
      <w:r>
        <w:rPr>
          <w:color w:val="000000"/>
          <w:spacing w:val="0"/>
          <w:w w:val="100"/>
          <w:position w:val="0"/>
          <w:sz w:val="24"/>
          <w:szCs w:val="24"/>
        </w:rPr>
        <w:t>纳税期限</w:t>
      </w:r>
    </w:p>
    <w:p>
      <w:pPr>
        <w:pStyle w:val="a1"/>
        <w:keepNext w:val="0"/>
        <w:keepLines w:val="0"/>
        <w:widowControl w:val="0"/>
        <w:shd w:val="clear" w:color="auto" w:fill="auto"/>
        <w:bidi w:val="0"/>
        <w:spacing w:before="0" w:after="0" w:line="417" w:lineRule="exact"/>
        <w:ind w:left="0" w:right="0" w:firstLine="500"/>
        <w:jc w:val="both"/>
      </w:pPr>
      <w:r>
        <w:rPr>
          <w:color w:val="000000"/>
          <w:spacing w:val="0"/>
          <w:w w:val="100"/>
          <w:position w:val="0"/>
          <w:sz w:val="24"/>
          <w:szCs w:val="24"/>
        </w:rPr>
        <w:t>纳税期限是指纳税人在发生纳税义务后，应向税务机关申报纳税并解缴税款的起止时 间。超过期限未交税的属于欠税，要依法加收滞纳金。各税种由于自身的特点不同，有着不 同的纳税期限，•般分为按期纳税和按次纳税两种形式。比如，我国增值税规定的纳税期限 分别为</w:t>
      </w:r>
      <w:r>
        <w:rPr>
          <w:rFonts w:ascii="Arial" w:eastAsia="Arial" w:hAnsi="Arial" w:cs="Arial"/>
          <w:color w:val="000000"/>
          <w:spacing w:val="0"/>
          <w:w w:val="100"/>
          <w:position w:val="0"/>
          <w:sz w:val="22"/>
          <w:szCs w:val="22"/>
        </w:rPr>
        <w:t>1</w:t>
      </w:r>
      <w:r>
        <w:rPr>
          <w:color w:val="000000"/>
          <w:spacing w:val="0"/>
          <w:w w:val="100"/>
          <w:position w:val="0"/>
          <w:sz w:val="24"/>
          <w:szCs w:val="24"/>
        </w:rPr>
        <w:t>日、</w:t>
      </w:r>
      <w:r>
        <w:rPr>
          <w:rFonts w:ascii="Arial" w:eastAsia="Arial" w:hAnsi="Arial" w:cs="Arial"/>
          <w:color w:val="000000"/>
          <w:spacing w:val="0"/>
          <w:w w:val="100"/>
          <w:position w:val="0"/>
          <w:sz w:val="22"/>
          <w:szCs w:val="22"/>
        </w:rPr>
        <w:t>3</w:t>
      </w:r>
      <w:r>
        <w:rPr>
          <w:color w:val="000000"/>
          <w:spacing w:val="0"/>
          <w:w w:val="100"/>
          <w:position w:val="0"/>
          <w:sz w:val="24"/>
          <w:szCs w:val="24"/>
        </w:rPr>
        <w:t>日、</w:t>
      </w:r>
      <w:r>
        <w:rPr>
          <w:rFonts w:ascii="Arial" w:eastAsia="Arial" w:hAnsi="Arial" w:cs="Arial"/>
          <w:color w:val="000000"/>
          <w:spacing w:val="0"/>
          <w:w w:val="100"/>
          <w:position w:val="0"/>
          <w:sz w:val="22"/>
          <w:szCs w:val="22"/>
        </w:rPr>
        <w:t>5</w:t>
      </w:r>
      <w:r>
        <w:rPr>
          <w:color w:val="000000"/>
          <w:spacing w:val="0"/>
          <w:w w:val="100"/>
          <w:position w:val="0"/>
          <w:sz w:val="24"/>
          <w:szCs w:val="24"/>
        </w:rPr>
        <w:t>日、】（）日、</w:t>
      </w:r>
      <w:r>
        <w:rPr>
          <w:rFonts w:ascii="Arial" w:eastAsia="Arial" w:hAnsi="Arial" w:cs="Arial"/>
          <w:color w:val="000000"/>
          <w:spacing w:val="0"/>
          <w:w w:val="100"/>
          <w:position w:val="0"/>
          <w:sz w:val="22"/>
          <w:szCs w:val="22"/>
        </w:rPr>
        <w:t>15</w:t>
      </w:r>
      <w:r>
        <w:rPr>
          <w:color w:val="000000"/>
          <w:spacing w:val="0"/>
          <w:w w:val="100"/>
          <w:position w:val="0"/>
          <w:sz w:val="24"/>
          <w:szCs w:val="24"/>
        </w:rPr>
        <w:t>日、</w:t>
      </w:r>
      <w:r>
        <w:rPr>
          <w:rFonts w:ascii="Arial" w:eastAsia="Arial" w:hAnsi="Arial" w:cs="Arial"/>
          <w:color w:val="000000"/>
          <w:spacing w:val="0"/>
          <w:w w:val="100"/>
          <w:position w:val="0"/>
          <w:sz w:val="22"/>
          <w:szCs w:val="22"/>
        </w:rPr>
        <w:t>1</w:t>
      </w:r>
      <w:r>
        <w:rPr>
          <w:color w:val="000000"/>
          <w:spacing w:val="0"/>
          <w:w w:val="100"/>
          <w:position w:val="0"/>
          <w:sz w:val="24"/>
          <w:szCs w:val="24"/>
        </w:rPr>
        <w:t>个月或者</w:t>
      </w:r>
      <w:r>
        <w:rPr>
          <w:rFonts w:ascii="Arial" w:eastAsia="Arial" w:hAnsi="Arial" w:cs="Arial"/>
          <w:color w:val="000000"/>
          <w:spacing w:val="0"/>
          <w:w w:val="100"/>
          <w:position w:val="0"/>
          <w:sz w:val="22"/>
          <w:szCs w:val="22"/>
        </w:rPr>
        <w:t>1</w:t>
      </w:r>
      <w:r>
        <w:rPr>
          <w:color w:val="000000"/>
          <w:spacing w:val="0"/>
          <w:w w:val="100"/>
          <w:position w:val="0"/>
          <w:sz w:val="24"/>
          <w:szCs w:val="24"/>
        </w:rPr>
        <w:t>个季度，以</w:t>
      </w:r>
      <w:r>
        <w:rPr>
          <w:rFonts w:ascii="Arial" w:eastAsia="Arial" w:hAnsi="Arial" w:cs="Arial"/>
          <w:color w:val="000000"/>
          <w:spacing w:val="0"/>
          <w:w w:val="100"/>
          <w:position w:val="0"/>
          <w:sz w:val="22"/>
          <w:szCs w:val="22"/>
        </w:rPr>
        <w:t>1</w:t>
      </w:r>
      <w:r>
        <w:rPr>
          <w:color w:val="000000"/>
          <w:spacing w:val="0"/>
          <w:w w:val="100"/>
          <w:position w:val="0"/>
          <w:sz w:val="24"/>
          <w:szCs w:val="24"/>
        </w:rPr>
        <w:t>个月或者</w:t>
      </w:r>
      <w:r>
        <w:rPr>
          <w:rFonts w:ascii="Arial" w:eastAsia="Arial" w:hAnsi="Arial" w:cs="Arial"/>
          <w:color w:val="000000"/>
          <w:spacing w:val="0"/>
          <w:w w:val="100"/>
          <w:position w:val="0"/>
          <w:sz w:val="22"/>
          <w:szCs w:val="22"/>
        </w:rPr>
        <w:t>1</w:t>
      </w:r>
      <w:r>
        <w:rPr>
          <w:color w:val="000000"/>
          <w:spacing w:val="0"/>
          <w:w w:val="100"/>
          <w:position w:val="0"/>
          <w:sz w:val="24"/>
          <w:szCs w:val="24"/>
        </w:rPr>
        <w:t>个季度为一 个纳税期的，自期满之日起</w:t>
      </w:r>
      <w:r>
        <w:rPr>
          <w:rFonts w:ascii="Arial" w:eastAsia="Arial" w:hAnsi="Arial" w:cs="Arial"/>
          <w:color w:val="000000"/>
          <w:spacing w:val="0"/>
          <w:w w:val="100"/>
          <w:position w:val="0"/>
          <w:sz w:val="22"/>
          <w:szCs w:val="22"/>
        </w:rPr>
        <w:t>15</w:t>
      </w:r>
      <w:r>
        <w:rPr>
          <w:color w:val="000000"/>
          <w:spacing w:val="0"/>
          <w:w w:val="100"/>
          <w:position w:val="0"/>
          <w:sz w:val="24"/>
          <w:szCs w:val="24"/>
        </w:rPr>
        <w:t>日内申报纳税；以</w:t>
      </w:r>
      <w:r>
        <w:rPr>
          <w:rFonts w:ascii="Arial" w:eastAsia="Arial" w:hAnsi="Arial" w:cs="Arial"/>
          <w:color w:val="000000"/>
          <w:spacing w:val="0"/>
          <w:w w:val="100"/>
          <w:position w:val="0"/>
          <w:sz w:val="22"/>
          <w:szCs w:val="22"/>
        </w:rPr>
        <w:t>5</w:t>
      </w:r>
      <w:r>
        <w:rPr>
          <w:color w:val="000000"/>
          <w:spacing w:val="0"/>
          <w:w w:val="100"/>
          <w:position w:val="0"/>
          <w:sz w:val="24"/>
          <w:szCs w:val="24"/>
        </w:rPr>
        <w:t>日、</w:t>
      </w:r>
      <w:r>
        <w:rPr>
          <w:rFonts w:ascii="Arial" w:eastAsia="Arial" w:hAnsi="Arial" w:cs="Arial"/>
          <w:color w:val="000000"/>
          <w:spacing w:val="0"/>
          <w:w w:val="100"/>
          <w:position w:val="0"/>
          <w:sz w:val="22"/>
          <w:szCs w:val="22"/>
        </w:rPr>
        <w:t>10</w:t>
      </w:r>
      <w:r>
        <w:rPr>
          <w:color w:val="000000"/>
          <w:spacing w:val="0"/>
          <w:w w:val="100"/>
          <w:position w:val="0"/>
          <w:sz w:val="24"/>
          <w:szCs w:val="24"/>
        </w:rPr>
        <w:t>日或者</w:t>
      </w:r>
      <w:r>
        <w:rPr>
          <w:rFonts w:ascii="Arial" w:eastAsia="Arial" w:hAnsi="Arial" w:cs="Arial"/>
          <w:color w:val="000000"/>
          <w:spacing w:val="0"/>
          <w:w w:val="100"/>
          <w:position w:val="0"/>
          <w:sz w:val="22"/>
          <w:szCs w:val="22"/>
        </w:rPr>
        <w:t>15</w:t>
      </w:r>
      <w:r>
        <w:rPr>
          <w:color w:val="000000"/>
          <w:spacing w:val="0"/>
          <w:w w:val="100"/>
          <w:position w:val="0"/>
          <w:sz w:val="24"/>
          <w:szCs w:val="24"/>
        </w:rPr>
        <w:t>日为一个纳税期的， 自期满之口起</w:t>
      </w:r>
      <w:r>
        <w:rPr>
          <w:rFonts w:ascii="Arial" w:eastAsia="Arial" w:hAnsi="Arial" w:cs="Arial"/>
          <w:color w:val="000000"/>
          <w:spacing w:val="0"/>
          <w:w w:val="100"/>
          <w:position w:val="0"/>
          <w:sz w:val="22"/>
          <w:szCs w:val="22"/>
        </w:rPr>
        <w:t>5</w:t>
      </w:r>
      <w:r>
        <w:rPr>
          <w:color w:val="000000"/>
          <w:spacing w:val="0"/>
          <w:w w:val="100"/>
          <w:position w:val="0"/>
          <w:sz w:val="24"/>
          <w:szCs w:val="24"/>
        </w:rPr>
        <w:t>日内预缴税款，于次月</w:t>
      </w:r>
      <w:r>
        <w:rPr>
          <w:rFonts w:ascii="Arial" w:eastAsia="Arial" w:hAnsi="Arial" w:cs="Arial"/>
          <w:color w:val="000000"/>
          <w:spacing w:val="0"/>
          <w:w w:val="100"/>
          <w:position w:val="0"/>
          <w:sz w:val="22"/>
          <w:szCs w:val="22"/>
        </w:rPr>
        <w:t xml:space="preserve">1 </w:t>
      </w:r>
      <w:r>
        <w:rPr>
          <w:color w:val="000000"/>
          <w:spacing w:val="0"/>
          <w:w w:val="100"/>
          <w:position w:val="0"/>
          <w:sz w:val="24"/>
          <w:szCs w:val="24"/>
        </w:rPr>
        <w:t>口起</w:t>
      </w:r>
      <w:r>
        <w:rPr>
          <w:rFonts w:ascii="Arial" w:eastAsia="Arial" w:hAnsi="Arial" w:cs="Arial"/>
          <w:color w:val="000000"/>
          <w:spacing w:val="0"/>
          <w:w w:val="100"/>
          <w:position w:val="0"/>
          <w:sz w:val="22"/>
          <w:szCs w:val="22"/>
        </w:rPr>
        <w:t xml:space="preserve">15 </w:t>
      </w:r>
      <w:r>
        <w:rPr>
          <w:color w:val="000000"/>
          <w:spacing w:val="0"/>
          <w:w w:val="100"/>
          <w:position w:val="0"/>
          <w:sz w:val="24"/>
          <w:szCs w:val="24"/>
        </w:rPr>
        <w:t>口内申报纳税并结清上月应纳税款；不能 按照固定期限纳税的，可以按次纳税。</w:t>
      </w:r>
    </w:p>
    <w:p>
      <w:pPr>
        <w:pStyle w:val="a1"/>
        <w:keepNext w:val="0"/>
        <w:keepLines w:val="0"/>
        <w:widowControl w:val="0"/>
        <w:shd w:val="clear" w:color="auto" w:fill="auto"/>
        <w:bidi w:val="0"/>
        <w:spacing w:before="0" w:after="0" w:line="417" w:lineRule="exact"/>
        <w:ind w:left="0" w:right="0" w:firstLine="620"/>
        <w:jc w:val="both"/>
      </w:pPr>
      <w:r>
        <w:rPr>
          <w:color w:val="1515F4"/>
          <w:spacing w:val="0"/>
          <w:w w:val="100"/>
          <w:position w:val="0"/>
          <w:sz w:val="24"/>
          <w:szCs w:val="24"/>
        </w:rPr>
        <w:t>【文本】</w:t>
      </w:r>
      <w:r>
        <w:rPr>
          <w:color w:val="595AF0"/>
          <w:spacing w:val="0"/>
          <w:w w:val="100"/>
          <w:position w:val="0"/>
          <w:sz w:val="24"/>
          <w:szCs w:val="24"/>
        </w:rPr>
        <w:t>专题材料：节假日能够影响纳税时间</w:t>
      </w:r>
    </w:p>
    <w:p>
      <w:pPr>
        <w:pStyle w:val="a1"/>
        <w:keepNext w:val="0"/>
        <w:keepLines w:val="0"/>
        <w:widowControl w:val="0"/>
        <w:numPr>
          <w:ilvl w:val="0"/>
          <w:numId w:val="1"/>
        </w:numPr>
        <w:shd w:val="clear" w:color="auto" w:fill="auto"/>
        <w:tabs>
          <w:tab w:val="left" w:pos="865"/>
        </w:tabs>
        <w:bidi w:val="0"/>
        <w:spacing w:before="0" w:after="0" w:line="415" w:lineRule="exact"/>
        <w:ind w:left="0" w:right="0" w:firstLine="500"/>
        <w:jc w:val="both"/>
      </w:pPr>
      <w:bookmarkStart w:id="15" w:name="bookmark15"/>
      <w:bookmarkEnd w:id="15"/>
      <w:r>
        <w:rPr>
          <w:color w:val="000000"/>
          <w:spacing w:val="0"/>
          <w:w w:val="100"/>
          <w:position w:val="0"/>
          <w:sz w:val="24"/>
          <w:szCs w:val="24"/>
        </w:rPr>
        <w:t>纳税地点</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纳税地点是指按照税法规定向征税机关申报纳税的具体地点。它说明纳税人应向哪里的 征税机关申报纳税以及哪里的征税机关有权进行税收管辖的问题。我国税法上规定的纳税地 点主要是机构所在地、经济活动发生地、财产所在地、报关地等。</w:t>
      </w:r>
    </w:p>
    <w:p>
      <w:pPr>
        <w:pStyle w:val="a1"/>
        <w:keepNext w:val="0"/>
        <w:keepLines w:val="0"/>
        <w:widowControl w:val="0"/>
        <w:numPr>
          <w:ilvl w:val="0"/>
          <w:numId w:val="1"/>
        </w:numPr>
        <w:shd w:val="clear" w:color="auto" w:fill="auto"/>
        <w:tabs>
          <w:tab w:val="left" w:pos="873"/>
        </w:tabs>
        <w:bidi w:val="0"/>
        <w:spacing w:before="0" w:after="0" w:line="415" w:lineRule="exact"/>
        <w:ind w:left="0" w:right="0" w:firstLine="500"/>
        <w:jc w:val="both"/>
      </w:pPr>
      <w:bookmarkStart w:id="16" w:name="bookmark16"/>
      <w:bookmarkEnd w:id="16"/>
      <w:r>
        <w:rPr>
          <w:color w:val="000000"/>
          <w:spacing w:val="0"/>
          <w:w w:val="100"/>
          <w:position w:val="0"/>
          <w:sz w:val="24"/>
          <w:szCs w:val="24"/>
        </w:rPr>
        <w:t>税收减免</w:t>
      </w:r>
    </w:p>
    <w:p>
      <w:pPr>
        <w:pStyle w:val="a1"/>
        <w:keepNext w:val="0"/>
        <w:keepLines w:val="0"/>
        <w:widowControl w:val="0"/>
        <w:shd w:val="clear" w:color="auto" w:fill="auto"/>
        <w:bidi w:val="0"/>
        <w:spacing w:before="0" w:after="140" w:line="415" w:lineRule="exact"/>
        <w:ind w:left="0" w:right="0" w:firstLine="500"/>
        <w:jc w:val="both"/>
      </w:pPr>
      <w:r>
        <w:rPr>
          <w:color w:val="000000"/>
          <w:spacing w:val="0"/>
          <w:w w:val="100"/>
          <w:position w:val="0"/>
          <w:sz w:val="24"/>
          <w:szCs w:val="24"/>
        </w:rPr>
        <w:t>税收减免是减税和免税的合称，是对某些纳税人或征税对象的鼓励或照顾措施。减税是 对应纳税额少征一部分税款，而免税则是对应纳税额全部免征税款。减免税体现了税收在原 则性基础上的灵活性，是构成税收优惠的主要内容，具体可分为税基式减免、税率式减免和 税额式减免三种形式。</w:t>
      </w:r>
    </w:p>
    <w:p>
      <w:pPr>
        <w:pStyle w:val="a1"/>
        <w:keepNext w:val="0"/>
        <w:keepLines w:val="0"/>
        <w:widowControl w:val="0"/>
        <w:shd w:val="clear" w:color="auto" w:fill="auto"/>
        <w:tabs>
          <w:tab w:val="left" w:pos="1180"/>
        </w:tabs>
        <w:bidi w:val="0"/>
        <w:spacing w:before="0" w:after="0" w:line="338" w:lineRule="auto"/>
        <w:ind w:left="0" w:right="0" w:firstLine="620"/>
        <w:jc w:val="both"/>
      </w:pPr>
      <w:bookmarkStart w:id="17" w:name="bookmark17"/>
      <w:r>
        <w:rPr>
          <w:rFonts w:ascii="Arial Unicode MS" w:eastAsia="Arial Unicode MS" w:hAnsi="Arial Unicode MS" w:cs="Arial Unicode MS"/>
          <w:color w:val="000000"/>
          <w:spacing w:val="0"/>
          <w:w w:val="100"/>
          <w:position w:val="0"/>
          <w:sz w:val="22"/>
          <w:szCs w:val="22"/>
        </w:rPr>
        <w:t>（</w:t>
      </w:r>
      <w:bookmarkEnd w:id="17"/>
      <w:r>
        <w:rPr>
          <w:rFonts w:ascii="Arial" w:eastAsia="Arial" w:hAnsi="Arial" w:cs="Arial"/>
          <w:color w:val="000000"/>
          <w:spacing w:val="0"/>
          <w:w w:val="100"/>
          <w:position w:val="0"/>
          <w:sz w:val="22"/>
          <w:szCs w:val="22"/>
        </w:rPr>
        <w:t>1）</w:t>
      </w:r>
      <w:r>
        <w:rPr>
          <w:color w:val="000000"/>
          <w:spacing w:val="0"/>
          <w:w w:val="100"/>
          <w:position w:val="0"/>
          <w:sz w:val="24"/>
          <w:szCs w:val="24"/>
        </w:rPr>
        <w:t>税基式减免</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税基式减免是通过直接缩小计税依据的方式来实现的减税免税。其涉及的概念包括起征 点、免征额、项目扣除以及跨期结转等。</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起征点是计税依据达到税法规定数额开始征税的起点，对计税依据数额未达到起征点的 不征税，达到起征点的按全部数额征税。</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免征额是在计税依据总额中免予征税的数额,它是按照一定标准从计税依据总额中预先 减除的数额。比如，个人所得税工资薪金所得的免征额为</w:t>
      </w:r>
      <w:r>
        <w:rPr>
          <w:rFonts w:ascii="Arial" w:eastAsia="Arial" w:hAnsi="Arial" w:cs="Arial"/>
          <w:color w:val="000000"/>
          <w:spacing w:val="0"/>
          <w:w w:val="100"/>
          <w:position w:val="0"/>
          <w:sz w:val="22"/>
          <w:szCs w:val="22"/>
        </w:rPr>
        <w:t>3500</w:t>
      </w:r>
      <w:r>
        <w:rPr>
          <w:color w:val="000000"/>
          <w:spacing w:val="0"/>
          <w:w w:val="100"/>
          <w:position w:val="0"/>
          <w:sz w:val="24"/>
          <w:szCs w:val="24"/>
        </w:rPr>
        <w:t>元。</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项目扣除则是指在计税依据中扣除一定项目的数额，以其余额作为依据计算税额。</w:t>
      </w:r>
    </w:p>
    <w:p>
      <w:pPr>
        <w:pStyle w:val="a1"/>
        <w:keepNext w:val="0"/>
        <w:keepLines w:val="0"/>
        <w:widowControl w:val="0"/>
        <w:shd w:val="clear" w:color="auto" w:fill="auto"/>
        <w:bidi w:val="0"/>
        <w:spacing w:before="0" w:after="140" w:line="415" w:lineRule="exact"/>
        <w:ind w:left="0" w:right="0" w:firstLine="500"/>
        <w:jc w:val="both"/>
      </w:pPr>
      <w:r>
        <w:rPr>
          <w:color w:val="000000"/>
          <w:spacing w:val="0"/>
          <w:w w:val="100"/>
          <w:position w:val="0"/>
          <w:sz w:val="24"/>
          <w:szCs w:val="24"/>
        </w:rPr>
        <w:t>跨期结转是指将以前纳税年度的经营亏损从本纳税年度经营利润中扣除。</w:t>
      </w:r>
    </w:p>
    <w:p>
      <w:pPr>
        <w:pStyle w:val="a1"/>
        <w:keepNext w:val="0"/>
        <w:keepLines w:val="0"/>
        <w:widowControl w:val="0"/>
        <w:shd w:val="clear" w:color="auto" w:fill="auto"/>
        <w:tabs>
          <w:tab w:val="left" w:pos="1180"/>
        </w:tabs>
        <w:bidi w:val="0"/>
        <w:spacing w:before="0" w:after="0" w:line="338" w:lineRule="auto"/>
        <w:ind w:left="0" w:right="0" w:firstLine="620"/>
        <w:jc w:val="both"/>
      </w:pPr>
      <w:bookmarkStart w:id="18" w:name="bookmark18"/>
      <w:r>
        <w:rPr>
          <w:rFonts w:ascii="Arial Unicode MS" w:eastAsia="Arial Unicode MS" w:hAnsi="Arial Unicode MS" w:cs="Arial Unicode MS"/>
          <w:color w:val="000000"/>
          <w:spacing w:val="0"/>
          <w:w w:val="100"/>
          <w:position w:val="0"/>
          <w:sz w:val="22"/>
          <w:szCs w:val="22"/>
        </w:rPr>
        <w:t>（</w:t>
      </w:r>
      <w:bookmarkEnd w:id="18"/>
      <w:r>
        <w:rPr>
          <w:rFonts w:ascii="Arial" w:eastAsia="Arial" w:hAnsi="Arial" w:cs="Arial"/>
          <w:color w:val="000000"/>
          <w:spacing w:val="0"/>
          <w:w w:val="100"/>
          <w:position w:val="0"/>
          <w:sz w:val="22"/>
          <w:szCs w:val="22"/>
        </w:rPr>
        <w:t>2）</w:t>
      </w:r>
      <w:r>
        <w:rPr>
          <w:color w:val="000000"/>
          <w:spacing w:val="0"/>
          <w:w w:val="100"/>
          <w:position w:val="0"/>
          <w:sz w:val="24"/>
          <w:szCs w:val="24"/>
        </w:rPr>
        <w:t>税率式减免</w:t>
      </w:r>
    </w:p>
    <w:p>
      <w:pPr>
        <w:pStyle w:val="a1"/>
        <w:keepNext w:val="0"/>
        <w:keepLines w:val="0"/>
        <w:widowControl w:val="0"/>
        <w:shd w:val="clear" w:color="auto" w:fill="auto"/>
        <w:bidi w:val="0"/>
        <w:spacing w:before="0" w:after="140" w:line="415" w:lineRule="exact"/>
        <w:ind w:left="0" w:right="0" w:firstLine="500"/>
        <w:jc w:val="both"/>
      </w:pPr>
      <w:r>
        <w:rPr>
          <w:color w:val="000000"/>
          <w:spacing w:val="0"/>
          <w:w w:val="100"/>
          <w:position w:val="0"/>
          <w:sz w:val="24"/>
          <w:szCs w:val="24"/>
        </w:rPr>
        <w:t>税率式减免即通过直接降低税率的方式实现的减税免税。比如，企业所得税规定符合条 件的小型微利企业适用的税率为</w:t>
      </w:r>
      <w:r>
        <w:rPr>
          <w:rFonts w:ascii="Arial" w:eastAsia="Arial" w:hAnsi="Arial" w:cs="Arial"/>
          <w:color w:val="000000"/>
          <w:spacing w:val="0"/>
          <w:w w:val="100"/>
          <w:position w:val="0"/>
          <w:sz w:val="22"/>
          <w:szCs w:val="22"/>
        </w:rPr>
        <w:t>20%,</w:t>
      </w:r>
      <w:r>
        <w:rPr>
          <w:color w:val="000000"/>
          <w:spacing w:val="0"/>
          <w:w w:val="100"/>
          <w:position w:val="0"/>
          <w:sz w:val="24"/>
          <w:szCs w:val="24"/>
        </w:rPr>
        <w:t>国家需要重点扶持的高新技术企业适用的税率为</w:t>
      </w:r>
      <w:r>
        <w:rPr>
          <w:rFonts w:ascii="Arial" w:eastAsia="Arial" w:hAnsi="Arial" w:cs="Arial"/>
          <w:color w:val="000000"/>
          <w:spacing w:val="0"/>
          <w:w w:val="100"/>
          <w:position w:val="0"/>
          <w:sz w:val="22"/>
          <w:szCs w:val="22"/>
        </w:rPr>
        <w:t>15%</w:t>
      </w:r>
      <w:r>
        <w:rPr>
          <w:color w:val="000000"/>
          <w:spacing w:val="0"/>
          <w:w w:val="100"/>
          <w:position w:val="0"/>
          <w:sz w:val="24"/>
          <w:szCs w:val="24"/>
        </w:rPr>
        <w:t>。</w:t>
      </w:r>
    </w:p>
    <w:p>
      <w:pPr>
        <w:pStyle w:val="a1"/>
        <w:keepNext w:val="0"/>
        <w:keepLines w:val="0"/>
        <w:widowControl w:val="0"/>
        <w:shd w:val="clear" w:color="auto" w:fill="auto"/>
        <w:tabs>
          <w:tab w:val="left" w:pos="1180"/>
        </w:tabs>
        <w:bidi w:val="0"/>
        <w:spacing w:before="0" w:after="0" w:line="338" w:lineRule="auto"/>
        <w:ind w:left="0" w:right="0" w:firstLine="620"/>
        <w:jc w:val="both"/>
      </w:pPr>
      <w:bookmarkStart w:id="19" w:name="bookmark19"/>
      <w:r>
        <w:rPr>
          <w:rFonts w:ascii="Arial Unicode MS" w:eastAsia="Arial Unicode MS" w:hAnsi="Arial Unicode MS" w:cs="Arial Unicode MS"/>
          <w:color w:val="000000"/>
          <w:spacing w:val="0"/>
          <w:w w:val="100"/>
          <w:position w:val="0"/>
          <w:sz w:val="22"/>
          <w:szCs w:val="22"/>
        </w:rPr>
        <w:t>（</w:t>
      </w:r>
      <w:bookmarkEnd w:id="19"/>
      <w:r>
        <w:rPr>
          <w:rFonts w:ascii="Arial" w:eastAsia="Arial" w:hAnsi="Arial" w:cs="Arial"/>
          <w:color w:val="000000"/>
          <w:spacing w:val="0"/>
          <w:w w:val="100"/>
          <w:position w:val="0"/>
          <w:sz w:val="22"/>
          <w:szCs w:val="22"/>
        </w:rPr>
        <w:t>3）</w:t>
      </w:r>
      <w:r>
        <w:rPr>
          <w:color w:val="000000"/>
          <w:spacing w:val="0"/>
          <w:w w:val="100"/>
          <w:position w:val="0"/>
          <w:sz w:val="24"/>
          <w:szCs w:val="24"/>
        </w:rPr>
        <w:t>税额式减免</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税额式减免即通过直接减少应纳税额的方式实现的减税免税，包括全部免征、减半征收 等。</w:t>
      </w:r>
    </w:p>
    <w:p>
      <w:pPr>
        <w:pStyle w:val="a1"/>
        <w:keepNext w:val="0"/>
        <w:keepLines w:val="0"/>
        <w:widowControl w:val="0"/>
        <w:numPr>
          <w:ilvl w:val="0"/>
          <w:numId w:val="1"/>
        </w:numPr>
        <w:shd w:val="clear" w:color="auto" w:fill="auto"/>
        <w:tabs>
          <w:tab w:val="left" w:pos="873"/>
        </w:tabs>
        <w:bidi w:val="0"/>
        <w:spacing w:before="0" w:after="0" w:line="415" w:lineRule="exact"/>
        <w:ind w:left="0" w:right="0" w:firstLine="500"/>
        <w:jc w:val="both"/>
      </w:pPr>
      <w:bookmarkStart w:id="20" w:name="bookmark20"/>
      <w:bookmarkEnd w:id="20"/>
      <w:r>
        <w:rPr>
          <w:color w:val="000000"/>
          <w:spacing w:val="0"/>
          <w:w w:val="100"/>
          <w:position w:val="0"/>
          <w:sz w:val="24"/>
          <w:szCs w:val="24"/>
        </w:rPr>
        <w:t>税收加征</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税收加征形式包括地方附加、加成征收、加倍征收等。</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地方附加简称附加，是地方政府按照规定的比例随同正税一起征收的列入地方预算外收 入的-•种款项。税收附加是对税种的附加，以正税税额为依据，按规定的附加率计算附加额。</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加成是指按法定税率计算出应纳税额后，再以应纳税额为依据加征一定成数的税额。加 征一成相当于应纳税额的</w:t>
      </w:r>
      <w:r>
        <w:rPr>
          <w:rFonts w:ascii="Arial" w:eastAsia="Arial" w:hAnsi="Arial" w:cs="Arial"/>
          <w:color w:val="000000"/>
          <w:spacing w:val="0"/>
          <w:w w:val="100"/>
          <w:position w:val="0"/>
          <w:sz w:val="22"/>
          <w:szCs w:val="22"/>
        </w:rPr>
        <w:t>10%,</w:t>
      </w:r>
      <w:r>
        <w:rPr>
          <w:color w:val="000000"/>
          <w:spacing w:val="0"/>
          <w:w w:val="100"/>
          <w:position w:val="0"/>
          <w:sz w:val="24"/>
          <w:szCs w:val="24"/>
        </w:rPr>
        <w:t>加征成数一般规定在</w:t>
      </w:r>
      <w:r>
        <w:rPr>
          <w:rFonts w:ascii="Arial" w:eastAsia="Arial" w:hAnsi="Arial" w:cs="Arial"/>
          <w:color w:val="000000"/>
          <w:spacing w:val="0"/>
          <w:w w:val="100"/>
          <w:position w:val="0"/>
          <w:sz w:val="22"/>
          <w:szCs w:val="22"/>
        </w:rPr>
        <w:t>1</w:t>
      </w:r>
      <w:r>
        <w:rPr>
          <w:color w:val="000000"/>
          <w:spacing w:val="0"/>
          <w:w w:val="100"/>
          <w:position w:val="0"/>
          <w:sz w:val="24"/>
          <w:szCs w:val="24"/>
        </w:rPr>
        <w:t>成至</w:t>
      </w:r>
      <w:r>
        <w:rPr>
          <w:rFonts w:ascii="Arial" w:eastAsia="Arial" w:hAnsi="Arial" w:cs="Arial"/>
          <w:color w:val="000000"/>
          <w:spacing w:val="0"/>
          <w:w w:val="100"/>
          <w:position w:val="0"/>
          <w:sz w:val="22"/>
          <w:szCs w:val="22"/>
        </w:rPr>
        <w:t>10</w:t>
      </w:r>
      <w:r>
        <w:rPr>
          <w:color w:val="000000"/>
          <w:spacing w:val="0"/>
          <w:w w:val="100"/>
          <w:position w:val="0"/>
          <w:sz w:val="24"/>
          <w:szCs w:val="24"/>
        </w:rPr>
        <w:t>成之间。</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加倍是指按法定税率计算出应纳税额后，再以应纳税额为依据加征一定倍数的税额。加 征</w:t>
      </w:r>
      <w:r>
        <w:rPr>
          <w:rFonts w:ascii="Arial" w:eastAsia="Arial" w:hAnsi="Arial" w:cs="Arial"/>
          <w:color w:val="000000"/>
          <w:spacing w:val="0"/>
          <w:w w:val="100"/>
          <w:position w:val="0"/>
          <w:sz w:val="22"/>
          <w:szCs w:val="22"/>
        </w:rPr>
        <w:t>10</w:t>
      </w:r>
      <w:r>
        <w:rPr>
          <w:color w:val="000000"/>
          <w:spacing w:val="0"/>
          <w:w w:val="100"/>
          <w:position w:val="0"/>
          <w:sz w:val="24"/>
          <w:szCs w:val="24"/>
        </w:rPr>
        <w:t>成即为加征</w:t>
      </w:r>
      <w:r>
        <w:rPr>
          <w:rFonts w:ascii="Arial" w:eastAsia="Arial" w:hAnsi="Arial" w:cs="Arial"/>
          <w:color w:val="000000"/>
          <w:spacing w:val="0"/>
          <w:w w:val="100"/>
          <w:position w:val="0"/>
          <w:sz w:val="22"/>
          <w:szCs w:val="22"/>
        </w:rPr>
        <w:t>1</w:t>
      </w:r>
      <w:r>
        <w:rPr>
          <w:color w:val="000000"/>
          <w:spacing w:val="0"/>
          <w:w w:val="100"/>
          <w:position w:val="0"/>
          <w:sz w:val="24"/>
          <w:szCs w:val="24"/>
        </w:rPr>
        <w:t>倍。</w:t>
      </w:r>
    </w:p>
    <w:p>
      <w:pPr>
        <w:pStyle w:val="a1"/>
        <w:keepNext w:val="0"/>
        <w:keepLines w:val="0"/>
        <w:widowControl w:val="0"/>
        <w:shd w:val="clear" w:color="auto" w:fill="auto"/>
        <w:bidi w:val="0"/>
        <w:spacing w:before="0" w:after="140" w:line="415" w:lineRule="exact"/>
        <w:ind w:left="0" w:right="0" w:firstLine="500"/>
        <w:jc w:val="both"/>
      </w:pPr>
      <w:r>
        <w:rPr>
          <w:color w:val="000000"/>
          <w:spacing w:val="0"/>
          <w:w w:val="100"/>
          <w:position w:val="0"/>
          <w:sz w:val="24"/>
          <w:szCs w:val="24"/>
        </w:rPr>
        <w:t>无论是附加、加成还是加倍，都增加了纳税人的负担，但其目的不同，实行地方附加是 为了给地方政府筹措一定的机动财力，用于发展地方建设事业。实行加成和加倍则是为了调 节和限制某些纳税人获取过多的收入或者是对纳税人违章行为进行处罚措施。</w:t>
      </w:r>
    </w:p>
    <w:p>
      <w:pPr>
        <w:pStyle w:val="a1"/>
        <w:keepNext w:val="0"/>
        <w:keepLines w:val="0"/>
        <w:widowControl w:val="0"/>
        <w:numPr>
          <w:ilvl w:val="0"/>
          <w:numId w:val="1"/>
        </w:numPr>
        <w:shd w:val="clear" w:color="auto" w:fill="auto"/>
        <w:tabs>
          <w:tab w:val="left" w:pos="970"/>
        </w:tabs>
        <w:bidi w:val="0"/>
        <w:spacing w:before="0" w:after="0" w:line="394" w:lineRule="auto"/>
        <w:ind w:left="0" w:right="0" w:firstLine="500"/>
        <w:jc w:val="both"/>
      </w:pPr>
      <w:bookmarkStart w:id="21" w:name="bookmark21"/>
      <w:bookmarkEnd w:id="21"/>
      <w:r>
        <w:rPr>
          <w:color w:val="000000"/>
          <w:spacing w:val="0"/>
          <w:w w:val="100"/>
          <w:position w:val="0"/>
          <w:sz w:val="24"/>
          <w:szCs w:val="24"/>
        </w:rPr>
        <w:t>违章处理</w:t>
      </w:r>
    </w:p>
    <w:p>
      <w:pPr>
        <w:pStyle w:val="a1"/>
        <w:keepNext w:val="0"/>
        <w:keepLines w:val="0"/>
        <w:widowControl w:val="0"/>
        <w:shd w:val="clear" w:color="auto" w:fill="auto"/>
        <w:bidi w:val="0"/>
        <w:spacing w:before="0" w:after="0" w:line="415" w:lineRule="exact"/>
        <w:ind w:left="0" w:right="0" w:firstLine="500"/>
        <w:jc w:val="both"/>
      </w:pPr>
      <w:r>
        <w:rPr>
          <w:color w:val="000000"/>
          <w:spacing w:val="0"/>
          <w:w w:val="100"/>
          <w:position w:val="0"/>
          <w:sz w:val="24"/>
          <w:szCs w:val="24"/>
        </w:rPr>
        <w:t>违章处理是对纳税人发生违反税法行为采取的惩罚措施，它是税收强制性的体现。纳税 人必须依法及时足额地缴纳税款，凡有拖欠税款、逾期不交、偷税漏税等违反税法的行为, 都应受到制裁。违章处理的措施主要有加收滞纳金、处以罚款、税收保全措施、税收强制执 行措施等。</w:t>
      </w:r>
    </w:p>
    <w:p>
      <w:pPr>
        <w:pStyle w:val="a1"/>
        <w:keepNext w:val="0"/>
        <w:keepLines w:val="0"/>
        <w:widowControl w:val="0"/>
        <w:shd w:val="clear" w:color="auto" w:fill="auto"/>
        <w:bidi w:val="0"/>
        <w:spacing w:before="0" w:after="0" w:line="415" w:lineRule="exact"/>
        <w:ind w:left="0" w:right="0" w:firstLine="620"/>
        <w:jc w:val="both"/>
      </w:pPr>
      <w:r>
        <w:rPr>
          <w:color w:val="1515F4"/>
          <w:spacing w:val="0"/>
          <w:w w:val="100"/>
          <w:position w:val="0"/>
          <w:sz w:val="24"/>
          <w:szCs w:val="24"/>
        </w:rPr>
        <w:t>【视频】</w:t>
      </w:r>
      <w:r>
        <w:rPr>
          <w:color w:val="595AF0"/>
          <w:spacing w:val="0"/>
          <w:w w:val="100"/>
          <w:position w:val="0"/>
          <w:sz w:val="24"/>
          <w:szCs w:val="24"/>
        </w:rPr>
        <w:t>马斌说税：税收违法受何处罚</w:t>
      </w:r>
      <w:r>
        <w:rPr>
          <w:color w:val="000000"/>
          <w:spacing w:val="0"/>
          <w:w w:val="100"/>
          <w:position w:val="0"/>
          <w:sz w:val="24"/>
          <w:szCs w:val="24"/>
        </w:rPr>
        <w:t>（三）税收分类</w:t>
      </w:r>
    </w:p>
    <w:p>
      <w:pPr>
        <w:pStyle w:val="a1"/>
        <w:keepNext w:val="0"/>
        <w:keepLines w:val="0"/>
        <w:widowControl w:val="0"/>
        <w:numPr>
          <w:ilvl w:val="0"/>
          <w:numId w:val="4"/>
        </w:numPr>
        <w:shd w:val="clear" w:color="auto" w:fill="auto"/>
        <w:tabs>
          <w:tab w:val="left" w:pos="1310"/>
        </w:tabs>
        <w:bidi w:val="0"/>
        <w:spacing w:before="0" w:after="0" w:line="415" w:lineRule="exact"/>
        <w:ind w:left="0" w:right="0" w:firstLine="960"/>
        <w:jc w:val="both"/>
      </w:pPr>
      <w:bookmarkStart w:id="22" w:name="bookmark22"/>
      <w:bookmarkEnd w:id="22"/>
      <w:r>
        <w:rPr>
          <w:color w:val="000000"/>
          <w:spacing w:val="0"/>
          <w:w w:val="100"/>
          <w:position w:val="0"/>
          <w:sz w:val="24"/>
          <w:szCs w:val="24"/>
        </w:rPr>
        <w:t>按征税对象分类</w:t>
      </w:r>
    </w:p>
    <w:p>
      <w:pPr>
        <w:pStyle w:val="a1"/>
        <w:keepNext w:val="0"/>
        <w:keepLines w:val="0"/>
        <w:widowControl w:val="0"/>
        <w:shd w:val="clear" w:color="auto" w:fill="auto"/>
        <w:bidi w:val="0"/>
        <w:spacing w:before="0" w:after="0" w:line="415" w:lineRule="exact"/>
        <w:ind w:left="460" w:right="0" w:firstLine="520"/>
        <w:jc w:val="both"/>
      </w:pPr>
      <w:r>
        <w:rPr>
          <w:color w:val="000000"/>
          <w:spacing w:val="0"/>
          <w:w w:val="100"/>
          <w:position w:val="0"/>
          <w:sz w:val="24"/>
          <w:szCs w:val="24"/>
        </w:rPr>
        <w:t>按征税对象分类是税收最基本和最主要的分类方法，可将税收分为流转税、所得税、财 产税、行为税、特定目的税、资源税和烟叶税。</w:t>
      </w:r>
    </w:p>
    <w:p>
      <w:pPr>
        <w:pStyle w:val="a1"/>
        <w:keepNext w:val="0"/>
        <w:keepLines w:val="0"/>
        <w:widowControl w:val="0"/>
        <w:shd w:val="clear" w:color="auto" w:fill="auto"/>
        <w:bidi w:val="0"/>
        <w:spacing w:before="0" w:after="0" w:line="415" w:lineRule="exact"/>
        <w:ind w:left="460" w:right="0" w:firstLine="520"/>
        <w:jc w:val="both"/>
      </w:pPr>
      <w:r>
        <w:rPr>
          <w:color w:val="000000"/>
          <w:spacing w:val="0"/>
          <w:w w:val="100"/>
          <w:position w:val="0"/>
          <w:sz w:val="24"/>
          <w:szCs w:val="24"/>
        </w:rPr>
        <w:t>流转税指以商品或劳务的流转额为征税对象征收的一类税。这是我国现行税制中最大的 一类税收，涉及到商品的生产和流通各个环节，主要有增值税、消费税、关税。</w:t>
      </w:r>
    </w:p>
    <w:p>
      <w:pPr>
        <w:pStyle w:val="a1"/>
        <w:keepNext w:val="0"/>
        <w:keepLines w:val="0"/>
        <w:widowControl w:val="0"/>
        <w:shd w:val="clear" w:color="auto" w:fill="auto"/>
        <w:bidi w:val="0"/>
        <w:spacing w:before="0" w:after="0" w:line="415" w:lineRule="exact"/>
        <w:ind w:left="460" w:right="0" w:firstLine="520"/>
        <w:jc w:val="both"/>
      </w:pPr>
      <w:r>
        <w:rPr>
          <w:color w:val="000000"/>
          <w:spacing w:val="0"/>
          <w:w w:val="100"/>
          <w:position w:val="0"/>
          <w:sz w:val="24"/>
          <w:szCs w:val="24"/>
        </w:rPr>
        <w:t>所得税是指以所得额为征税对象征收的一类税。所得额是指全部收入减除为取得收入所 耗费的各项成本费用后的余额。我国现行税制中属于所得税的主要有企业所得税、个人所得 税。</w:t>
      </w:r>
    </w:p>
    <w:p>
      <w:pPr>
        <w:pStyle w:val="a1"/>
        <w:keepNext w:val="0"/>
        <w:keepLines w:val="0"/>
        <w:widowControl w:val="0"/>
        <w:shd w:val="clear" w:color="auto" w:fill="auto"/>
        <w:bidi w:val="0"/>
        <w:spacing w:before="0" w:after="0" w:line="415" w:lineRule="exact"/>
        <w:ind w:left="460" w:right="0" w:firstLine="520"/>
        <w:jc w:val="both"/>
      </w:pPr>
      <w:r>
        <w:rPr>
          <w:color w:val="000000"/>
          <w:spacing w:val="0"/>
          <w:w w:val="100"/>
          <w:position w:val="0"/>
          <w:sz w:val="24"/>
          <w:szCs w:val="24"/>
        </w:rPr>
        <w:t>财产税是指以纳税人所拥有或使用的财产为征税对象征收的一类税。属于财产税的主要 有房产税、车船税、契税。</w:t>
      </w:r>
    </w:p>
    <w:p>
      <w:pPr>
        <w:pStyle w:val="a1"/>
        <w:keepNext w:val="0"/>
        <w:keepLines w:val="0"/>
        <w:widowControl w:val="0"/>
        <w:shd w:val="clear" w:color="auto" w:fill="auto"/>
        <w:bidi w:val="0"/>
        <w:spacing w:before="0" w:after="0" w:line="415" w:lineRule="exact"/>
        <w:ind w:left="460" w:right="0" w:firstLine="520"/>
        <w:jc w:val="both"/>
      </w:pPr>
      <w:r>
        <w:rPr>
          <w:color w:val="000000"/>
          <w:spacing w:val="0"/>
          <w:w w:val="100"/>
          <w:position w:val="0"/>
          <w:sz w:val="24"/>
          <w:szCs w:val="24"/>
        </w:rPr>
        <w:t>行为税是指以纳税人的某些特定行为为征税对象征收的一类税。属于行为税的主要印花 税。</w:t>
      </w:r>
    </w:p>
    <w:p>
      <w:pPr>
        <w:pStyle w:val="a1"/>
        <w:keepNext w:val="0"/>
        <w:keepLines w:val="0"/>
        <w:widowControl w:val="0"/>
        <w:shd w:val="clear" w:color="auto" w:fill="auto"/>
        <w:bidi w:val="0"/>
        <w:spacing w:before="0" w:after="0" w:line="383" w:lineRule="exact"/>
        <w:ind w:left="460" w:right="0" w:firstLine="520"/>
        <w:jc w:val="both"/>
      </w:pPr>
      <w:r>
        <w:rPr>
          <w:color w:val="000000"/>
          <w:spacing w:val="0"/>
          <w:w w:val="100"/>
          <w:position w:val="0"/>
          <w:sz w:val="24"/>
          <w:szCs w:val="24"/>
        </w:rPr>
        <w:t>特定目的税是为了达到特定目的而征收的一种税。属于特定目的税的主要有城市维护建 设税、车辆购置税、耕地占用税。</w:t>
      </w:r>
    </w:p>
    <w:p>
      <w:pPr>
        <w:pStyle w:val="a1"/>
        <w:keepNext w:val="0"/>
        <w:keepLines w:val="0"/>
        <w:widowControl w:val="0"/>
        <w:shd w:val="clear" w:color="auto" w:fill="auto"/>
        <w:bidi w:val="0"/>
        <w:spacing w:before="0" w:after="0" w:line="417" w:lineRule="exact"/>
        <w:ind w:left="460" w:right="0" w:firstLine="520"/>
        <w:jc w:val="both"/>
      </w:pPr>
      <w:r>
        <w:rPr>
          <w:color w:val="000000"/>
          <w:spacing w:val="0"/>
          <w:w w:val="100"/>
          <w:position w:val="0"/>
          <w:sz w:val="24"/>
          <w:szCs w:val="24"/>
        </w:rPr>
        <w:t>资源税是对开发、利用和占有国有自然资源的单位和个人征收的•类税。属于资源税类 的主要有资源税、土地增值税、城镇土地使用税。</w:t>
      </w:r>
    </w:p>
    <w:p>
      <w:pPr>
        <w:pStyle w:val="a1"/>
        <w:keepNext w:val="0"/>
        <w:keepLines w:val="0"/>
        <w:widowControl w:val="0"/>
        <w:shd w:val="clear" w:color="auto" w:fill="auto"/>
        <w:bidi w:val="0"/>
        <w:spacing w:before="0" w:after="0" w:line="417" w:lineRule="exact"/>
        <w:ind w:left="0" w:right="0" w:firstLine="960"/>
        <w:jc w:val="both"/>
      </w:pPr>
      <w:r>
        <w:rPr>
          <w:color w:val="000000"/>
          <w:spacing w:val="0"/>
          <w:w w:val="100"/>
          <w:position w:val="0"/>
          <w:sz w:val="24"/>
          <w:szCs w:val="24"/>
        </w:rPr>
        <w:t>烟叶税是国家对收购烟叶的单位按照收购烟叶金额征收的一种税。</w:t>
      </w:r>
    </w:p>
    <w:p>
      <w:pPr>
        <w:pStyle w:val="a1"/>
        <w:keepNext w:val="0"/>
        <w:keepLines w:val="0"/>
        <w:widowControl w:val="0"/>
        <w:numPr>
          <w:ilvl w:val="0"/>
          <w:numId w:val="4"/>
        </w:numPr>
        <w:shd w:val="clear" w:color="auto" w:fill="auto"/>
        <w:tabs>
          <w:tab w:val="left" w:pos="1333"/>
        </w:tabs>
        <w:bidi w:val="0"/>
        <w:spacing w:before="0" w:after="0" w:line="417" w:lineRule="exact"/>
        <w:ind w:left="0" w:right="0" w:firstLine="960"/>
        <w:jc w:val="both"/>
      </w:pPr>
      <w:bookmarkStart w:id="23" w:name="bookmark23"/>
      <w:bookmarkEnd w:id="23"/>
      <w:r>
        <w:rPr>
          <w:color w:val="000000"/>
          <w:spacing w:val="0"/>
          <w:w w:val="100"/>
          <w:position w:val="0"/>
          <w:sz w:val="24"/>
          <w:szCs w:val="24"/>
        </w:rPr>
        <w:t>按税收与价格的关系分类</w:t>
      </w:r>
    </w:p>
    <w:p>
      <w:pPr>
        <w:pStyle w:val="a1"/>
        <w:keepNext w:val="0"/>
        <w:keepLines w:val="0"/>
        <w:widowControl w:val="0"/>
        <w:shd w:val="clear" w:color="auto" w:fill="auto"/>
        <w:bidi w:val="0"/>
        <w:spacing w:before="0" w:after="0" w:line="417" w:lineRule="exact"/>
        <w:ind w:left="0" w:right="0" w:firstLine="960"/>
        <w:jc w:val="both"/>
      </w:pPr>
      <w:r>
        <w:rPr>
          <w:color w:val="000000"/>
          <w:spacing w:val="0"/>
          <w:w w:val="100"/>
          <w:position w:val="0"/>
          <w:sz w:val="24"/>
          <w:szCs w:val="24"/>
        </w:rPr>
        <w:t>按税收与价格的关系划分，税收可分为价内税和价外税。</w:t>
      </w:r>
    </w:p>
    <w:p>
      <w:pPr>
        <w:pStyle w:val="a1"/>
        <w:keepNext w:val="0"/>
        <w:keepLines w:val="0"/>
        <w:widowControl w:val="0"/>
        <w:shd w:val="clear" w:color="auto" w:fill="auto"/>
        <w:bidi w:val="0"/>
        <w:spacing w:before="0" w:after="0" w:line="417" w:lineRule="exact"/>
        <w:ind w:left="460" w:right="0" w:firstLine="520"/>
        <w:jc w:val="both"/>
      </w:pPr>
      <w:r>
        <w:rPr>
          <w:color w:val="000000"/>
          <w:spacing w:val="0"/>
          <w:w w:val="100"/>
          <w:position w:val="0"/>
          <w:sz w:val="24"/>
          <w:szCs w:val="24"/>
        </w:rPr>
        <w:t>价内税就是税款包含在应税商品价格（计税依据）内，商品价格由“成本+利润+税金” 构成的一类税。比如，我国现行的消费税、关税等。</w:t>
      </w:r>
    </w:p>
    <w:p>
      <w:pPr>
        <w:pStyle w:val="a1"/>
        <w:keepNext w:val="0"/>
        <w:keepLines w:val="0"/>
        <w:widowControl w:val="0"/>
        <w:shd w:val="clear" w:color="auto" w:fill="auto"/>
        <w:bidi w:val="0"/>
        <w:spacing w:before="0" w:after="0" w:line="417" w:lineRule="exact"/>
        <w:ind w:left="460" w:right="0" w:firstLine="520"/>
        <w:jc w:val="both"/>
      </w:pPr>
      <w:r>
        <w:rPr>
          <w:color w:val="000000"/>
          <w:spacing w:val="0"/>
          <w:w w:val="100"/>
          <w:position w:val="0"/>
          <w:sz w:val="24"/>
          <w:szCs w:val="24"/>
        </w:rPr>
        <w:t>价外税是指税款不包含在应税商品价格（计税依据）之内，商品价格仅由成本和利润构 成，价税分离的一类税。比如，我国现行的增值税就是一种典型的价外税。</w:t>
      </w:r>
    </w:p>
    <w:p>
      <w:pPr>
        <w:pStyle w:val="a1"/>
        <w:keepNext w:val="0"/>
        <w:keepLines w:val="0"/>
        <w:widowControl w:val="0"/>
        <w:numPr>
          <w:ilvl w:val="0"/>
          <w:numId w:val="4"/>
        </w:numPr>
        <w:shd w:val="clear" w:color="auto" w:fill="auto"/>
        <w:tabs>
          <w:tab w:val="left" w:pos="1333"/>
        </w:tabs>
        <w:bidi w:val="0"/>
        <w:spacing w:before="0" w:after="0" w:line="417" w:lineRule="exact"/>
        <w:ind w:left="0" w:right="0" w:firstLine="960"/>
        <w:jc w:val="both"/>
      </w:pPr>
      <w:bookmarkStart w:id="24" w:name="bookmark24"/>
      <w:bookmarkEnd w:id="24"/>
      <w:r>
        <w:rPr>
          <w:color w:val="000000"/>
          <w:spacing w:val="0"/>
          <w:w w:val="100"/>
          <w:position w:val="0"/>
          <w:sz w:val="24"/>
          <w:szCs w:val="24"/>
        </w:rPr>
        <w:t>按计税依据分类</w:t>
      </w:r>
    </w:p>
    <w:p>
      <w:pPr>
        <w:pStyle w:val="a1"/>
        <w:keepNext w:val="0"/>
        <w:keepLines w:val="0"/>
        <w:widowControl w:val="0"/>
        <w:shd w:val="clear" w:color="auto" w:fill="auto"/>
        <w:bidi w:val="0"/>
        <w:spacing w:before="0" w:after="0" w:line="417" w:lineRule="exact"/>
        <w:ind w:left="0" w:right="0" w:firstLine="960"/>
        <w:jc w:val="both"/>
      </w:pPr>
      <w:r>
        <w:rPr>
          <w:color w:val="000000"/>
          <w:spacing w:val="0"/>
          <w:w w:val="100"/>
          <w:position w:val="0"/>
          <w:sz w:val="24"/>
          <w:szCs w:val="24"/>
        </w:rPr>
        <w:t>按计税依据不同，税收可分为从价税和从量税。</w:t>
      </w:r>
    </w:p>
    <w:p>
      <w:pPr>
        <w:pStyle w:val="a1"/>
        <w:keepNext w:val="0"/>
        <w:keepLines w:val="0"/>
        <w:widowControl w:val="0"/>
        <w:shd w:val="clear" w:color="auto" w:fill="auto"/>
        <w:bidi w:val="0"/>
        <w:spacing w:before="0" w:after="0" w:line="417" w:lineRule="exact"/>
        <w:ind w:left="460" w:right="0" w:firstLine="520"/>
        <w:jc w:val="both"/>
      </w:pPr>
      <w:r>
        <w:rPr>
          <w:color w:val="000000"/>
          <w:spacing w:val="0"/>
          <w:w w:val="100"/>
          <w:position w:val="0"/>
          <w:sz w:val="24"/>
          <w:szCs w:val="24"/>
        </w:rPr>
        <w:t>从价税是以征税对象的价值、价格与金额为标准，按一定比例征收的一类税，从价税实 行比例税率和累进税率。比如，我国现行的增值税、企业所得税、个人所得税等税种都属于 从价税。</w:t>
      </w:r>
    </w:p>
    <w:p>
      <w:pPr>
        <w:pStyle w:val="a1"/>
        <w:keepNext w:val="0"/>
        <w:keepLines w:val="0"/>
        <w:widowControl w:val="0"/>
        <w:shd w:val="clear" w:color="auto" w:fill="auto"/>
        <w:bidi w:val="0"/>
        <w:spacing w:before="0" w:after="0" w:line="417" w:lineRule="exact"/>
        <w:ind w:left="460" w:right="0" w:firstLine="520"/>
        <w:jc w:val="both"/>
      </w:pPr>
      <w:r>
        <w:rPr>
          <w:color w:val="000000"/>
          <w:spacing w:val="0"/>
          <w:w w:val="100"/>
          <w:position w:val="0"/>
          <w:sz w:val="24"/>
          <w:szCs w:val="24"/>
        </w:rPr>
        <w:t>从量税是以征税对象的一定数量单位（重量、件数、容积、面积、长度等）为标准，按 固定税额计征的一类税。比如，我国现行的资源税、车船税、城镇土地使用税等都属于从量 税。</w:t>
      </w:r>
    </w:p>
    <w:p>
      <w:pPr>
        <w:pStyle w:val="a1"/>
        <w:keepNext w:val="0"/>
        <w:keepLines w:val="0"/>
        <w:widowControl w:val="0"/>
        <w:numPr>
          <w:ilvl w:val="0"/>
          <w:numId w:val="4"/>
        </w:numPr>
        <w:shd w:val="clear" w:color="auto" w:fill="auto"/>
        <w:tabs>
          <w:tab w:val="left" w:pos="1333"/>
        </w:tabs>
        <w:bidi w:val="0"/>
        <w:spacing w:before="0" w:after="0" w:line="417" w:lineRule="exact"/>
        <w:ind w:left="0" w:right="0" w:firstLine="960"/>
        <w:jc w:val="both"/>
      </w:pPr>
      <w:bookmarkStart w:id="25" w:name="bookmark25"/>
      <w:bookmarkEnd w:id="25"/>
      <w:r>
        <w:rPr>
          <w:color w:val="000000"/>
          <w:spacing w:val="0"/>
          <w:w w:val="100"/>
          <w:position w:val="0"/>
          <w:sz w:val="24"/>
          <w:szCs w:val="24"/>
        </w:rPr>
        <w:t>按税负能否转嫁分类</w:t>
      </w:r>
    </w:p>
    <w:p>
      <w:pPr>
        <w:pStyle w:val="a1"/>
        <w:keepNext w:val="0"/>
        <w:keepLines w:val="0"/>
        <w:widowControl w:val="0"/>
        <w:shd w:val="clear" w:color="auto" w:fill="auto"/>
        <w:bidi w:val="0"/>
        <w:spacing w:before="0" w:after="0" w:line="417" w:lineRule="exact"/>
        <w:ind w:left="0" w:right="0" w:firstLine="960"/>
        <w:jc w:val="both"/>
      </w:pPr>
      <w:r>
        <w:rPr>
          <w:color w:val="000000"/>
          <w:spacing w:val="0"/>
          <w:w w:val="100"/>
          <w:position w:val="0"/>
          <w:sz w:val="24"/>
          <w:szCs w:val="24"/>
        </w:rPr>
        <w:t>按税负能否转嫁，税收可以分为直接税和间接税。</w:t>
      </w:r>
    </w:p>
    <w:p>
      <w:pPr>
        <w:pStyle w:val="a1"/>
        <w:keepNext w:val="0"/>
        <w:keepLines w:val="0"/>
        <w:widowControl w:val="0"/>
        <w:shd w:val="clear" w:color="auto" w:fill="auto"/>
        <w:bidi w:val="0"/>
        <w:spacing w:before="0" w:after="0" w:line="417" w:lineRule="exact"/>
        <w:ind w:left="460" w:right="0" w:firstLine="520"/>
        <w:jc w:val="both"/>
      </w:pPr>
      <w:r>
        <w:rPr>
          <w:color w:val="000000"/>
          <w:spacing w:val="0"/>
          <w:w w:val="100"/>
          <w:position w:val="0"/>
          <w:sz w:val="24"/>
          <w:szCs w:val="24"/>
        </w:rPr>
        <w:t>直接税是指纳税人本身承担税负，不发生税负转嫁关系的一类税。直接税的纳税人即负 税人。比如所得税、财产税等。</w:t>
      </w:r>
    </w:p>
    <w:p>
      <w:pPr>
        <w:pStyle w:val="a1"/>
        <w:keepNext w:val="0"/>
        <w:keepLines w:val="0"/>
        <w:widowControl w:val="0"/>
        <w:shd w:val="clear" w:color="auto" w:fill="auto"/>
        <w:bidi w:val="0"/>
        <w:spacing w:before="0" w:after="0" w:line="417" w:lineRule="exact"/>
        <w:ind w:left="460" w:right="0" w:firstLine="520"/>
        <w:jc w:val="both"/>
      </w:pPr>
      <w:r>
        <w:rPr>
          <w:color w:val="000000"/>
          <w:spacing w:val="0"/>
          <w:w w:val="100"/>
          <w:position w:val="0"/>
          <w:sz w:val="24"/>
          <w:szCs w:val="24"/>
        </w:rPr>
        <w:t>间接税是指纳税人本身不是负税人，可将税负转嫁给他人的一类税。间接税的纳税人与 负税人不一致。比如增值税、消费税、关税等流转税。</w:t>
      </w:r>
    </w:p>
    <w:p>
      <w:pPr>
        <w:pStyle w:val="a1"/>
        <w:keepNext w:val="0"/>
        <w:keepLines w:val="0"/>
        <w:widowControl w:val="0"/>
        <w:numPr>
          <w:ilvl w:val="0"/>
          <w:numId w:val="4"/>
        </w:numPr>
        <w:shd w:val="clear" w:color="auto" w:fill="auto"/>
        <w:tabs>
          <w:tab w:val="left" w:pos="1333"/>
        </w:tabs>
        <w:bidi w:val="0"/>
        <w:spacing w:before="0" w:after="0" w:line="417" w:lineRule="exact"/>
        <w:ind w:left="0" w:right="0" w:firstLine="960"/>
        <w:jc w:val="both"/>
      </w:pPr>
      <w:bookmarkStart w:id="26" w:name="bookmark26"/>
      <w:bookmarkEnd w:id="26"/>
      <w:r>
        <w:rPr>
          <w:color w:val="000000"/>
          <w:spacing w:val="0"/>
          <w:w w:val="100"/>
          <w:position w:val="0"/>
          <w:sz w:val="24"/>
          <w:szCs w:val="24"/>
        </w:rPr>
        <w:t>按税收管理与使用权限分类</w:t>
      </w:r>
    </w:p>
    <w:p>
      <w:pPr>
        <w:pStyle w:val="a1"/>
        <w:keepNext w:val="0"/>
        <w:keepLines w:val="0"/>
        <w:widowControl w:val="0"/>
        <w:shd w:val="clear" w:color="auto" w:fill="auto"/>
        <w:bidi w:val="0"/>
        <w:spacing w:before="0" w:after="0" w:line="417" w:lineRule="exact"/>
        <w:ind w:left="0" w:right="0" w:firstLine="960"/>
        <w:jc w:val="both"/>
      </w:pPr>
      <w:r>
        <w:rPr>
          <w:color w:val="000000"/>
          <w:spacing w:val="0"/>
          <w:w w:val="100"/>
          <w:position w:val="0"/>
          <w:sz w:val="24"/>
          <w:szCs w:val="24"/>
        </w:rPr>
        <w:t>按税收管理与使用权限的不同，税收可以分为中央税、地方税、中央地方共享税。</w:t>
      </w:r>
    </w:p>
    <w:p>
      <w:pPr>
        <w:pStyle w:val="a1"/>
        <w:keepNext w:val="0"/>
        <w:keepLines w:val="0"/>
        <w:widowControl w:val="0"/>
        <w:shd w:val="clear" w:color="auto" w:fill="auto"/>
        <w:bidi w:val="0"/>
        <w:spacing w:before="0" w:after="0" w:line="417" w:lineRule="exact"/>
        <w:ind w:left="0" w:right="0" w:firstLine="960"/>
        <w:jc w:val="both"/>
      </w:pPr>
      <w:r>
        <w:rPr>
          <w:color w:val="000000"/>
          <w:spacing w:val="0"/>
          <w:w w:val="100"/>
          <w:position w:val="0"/>
          <w:sz w:val="24"/>
          <w:szCs w:val="24"/>
        </w:rPr>
        <w:t>中央税是指管理权限归中央，税收收入归中央支配和使用的税种。</w:t>
      </w:r>
      <w:r>
        <w:br w:type="page"/>
      </w:r>
    </w:p>
    <w:p>
      <w:pPr>
        <w:pStyle w:val="a1"/>
        <w:keepNext w:val="0"/>
        <w:keepLines w:val="0"/>
        <w:widowControl w:val="0"/>
        <w:shd w:val="clear" w:color="auto" w:fill="auto"/>
        <w:bidi w:val="0"/>
        <w:spacing w:before="0" w:after="0" w:line="405" w:lineRule="exact"/>
        <w:ind w:left="0" w:right="0" w:firstLine="980"/>
        <w:jc w:val="left"/>
      </w:pPr>
      <w:r>
        <w:rPr>
          <w:color w:val="000000"/>
          <w:spacing w:val="0"/>
          <w:w w:val="100"/>
          <w:position w:val="0"/>
          <w:sz w:val="24"/>
          <w:szCs w:val="24"/>
        </w:rPr>
        <w:t>地方税是指管理权限归地方，税收收入归地方支配和使用的税种。</w:t>
      </w:r>
    </w:p>
    <w:p>
      <w:pPr>
        <w:pStyle w:val="a1"/>
        <w:keepNext w:val="0"/>
        <w:keepLines w:val="0"/>
        <w:widowControl w:val="0"/>
        <w:shd w:val="clear" w:color="auto" w:fill="auto"/>
        <w:bidi w:val="0"/>
        <w:spacing w:before="0" w:after="0" w:line="405" w:lineRule="exact"/>
        <w:ind w:left="460" w:right="0" w:firstLine="520"/>
        <w:jc w:val="left"/>
      </w:pPr>
      <w:r>
        <w:rPr>
          <w:color w:val="000000"/>
          <w:spacing w:val="0"/>
          <w:w w:val="100"/>
          <w:position w:val="0"/>
          <w:sz w:val="24"/>
          <w:szCs w:val="24"/>
        </w:rPr>
        <w:t>中央和地方共享税则是指主要管理权限归中央，税收收入由中央政府和地方政府共同享 有，按一定比例分成的税种。</w:t>
      </w:r>
    </w:p>
    <w:p>
      <w:pPr>
        <w:pStyle w:val="a1"/>
        <w:keepNext w:val="0"/>
        <w:keepLines w:val="0"/>
        <w:widowControl w:val="0"/>
        <w:shd w:val="clear" w:color="auto" w:fill="auto"/>
        <w:bidi w:val="0"/>
        <w:spacing w:before="0" w:after="140" w:line="405" w:lineRule="exact"/>
        <w:ind w:left="0" w:right="0" w:firstLine="980"/>
        <w:jc w:val="both"/>
        <w:rPr>
          <w:sz w:val="22"/>
          <w:szCs w:val="22"/>
        </w:rPr>
      </w:pPr>
      <w:r>
        <w:rPr>
          <w:color w:val="000000"/>
          <w:spacing w:val="0"/>
          <w:w w:val="100"/>
          <w:position w:val="0"/>
          <w:sz w:val="24"/>
          <w:szCs w:val="24"/>
        </w:rPr>
        <w:t>我国现行各税种具体管理和使用权限的划分详见下表</w:t>
      </w:r>
      <w:r>
        <w:rPr>
          <w:rFonts w:ascii="Arial" w:eastAsia="Arial" w:hAnsi="Arial" w:cs="Arial"/>
          <w:color w:val="000000"/>
          <w:spacing w:val="0"/>
          <w:w w:val="100"/>
          <w:position w:val="0"/>
          <w:sz w:val="22"/>
          <w:szCs w:val="22"/>
        </w:rPr>
        <w:t>l-lo</w:t>
      </w:r>
      <w:r>
        <w:rPr>
          <w:color w:val="000000"/>
          <w:spacing w:val="0"/>
          <w:w w:val="100"/>
          <w:position w:val="0"/>
          <w:sz w:val="24"/>
          <w:szCs w:val="24"/>
        </w:rPr>
        <w:t>表</w:t>
      </w:r>
      <w:r>
        <w:rPr>
          <w:rFonts w:ascii="Arial" w:eastAsia="Arial" w:hAnsi="Arial" w:cs="Arial"/>
          <w:color w:val="000000"/>
          <w:spacing w:val="0"/>
          <w:w w:val="100"/>
          <w:position w:val="0"/>
          <w:sz w:val="22"/>
          <w:szCs w:val="22"/>
        </w:rPr>
        <w:t>IT</w:t>
      </w:r>
      <w:r>
        <w:rPr>
          <w:color w:val="000000"/>
          <w:spacing w:val="0"/>
          <w:w w:val="100"/>
          <w:position w:val="0"/>
          <w:sz w:val="24"/>
          <w:szCs w:val="24"/>
        </w:rPr>
        <w:t>我国现行税种管理和使用权限划分</w:t>
      </w:r>
    </w:p>
    <w:tbl>
      <w:tblPr>
        <w:tblOverlap w:val="never"/>
        <w:jc w:val="center"/>
        <w:tblLayout w:type="fixed"/>
        <w:tblCellMar>
          <w:left w:w="10" w:type="dxa"/>
          <w:right w:w="10" w:type="dxa"/>
        </w:tblCellMar>
      </w:tblPr>
      <w:tblGrid>
        <w:gridCol w:w="668"/>
        <w:gridCol w:w="1958"/>
        <w:gridCol w:w="443"/>
        <w:gridCol w:w="443"/>
        <w:gridCol w:w="443"/>
        <w:gridCol w:w="7170"/>
      </w:tblGrid>
      <w:tr>
        <w:tblPrEx>
          <w:jc w:val="center"/>
          <w:tblLayout w:type="fixed"/>
          <w:tblCellMar>
            <w:left w:w="10" w:type="dxa"/>
            <w:right w:w="10" w:type="dxa"/>
          </w:tblCellMar>
        </w:tblPrEx>
        <w:trPr>
          <w:trHeight w:hRule="exact" w:val="878"/>
          <w:jc w:val="center"/>
        </w:trPr>
        <w:tc>
          <w:tcPr>
            <w:tcW w:w="668" w:type="dxa"/>
            <w:tcBorders>
              <w:top w:val="single" w:sz="4" w:space="0" w:color="auto"/>
              <w:left w:val="single" w:sz="4" w:space="0" w:color="auto"/>
            </w:tcBorders>
            <w:shd w:val="clear" w:color="auto" w:fill="FFFFFF"/>
            <w:vAlign w:val="center"/>
          </w:tcPr>
          <w:p>
            <w:pPr>
              <w:pStyle w:val="a2"/>
              <w:keepNext w:val="0"/>
              <w:keepLines w:val="0"/>
              <w:widowControl w:val="0"/>
              <w:shd w:val="clear" w:color="auto" w:fill="auto"/>
              <w:bidi w:val="0"/>
              <w:spacing w:before="0" w:after="0" w:line="293" w:lineRule="exact"/>
              <w:ind w:left="0" w:right="0" w:firstLine="0"/>
              <w:jc w:val="center"/>
              <w:rPr>
                <w:sz w:val="22"/>
                <w:szCs w:val="22"/>
              </w:rPr>
            </w:pPr>
            <w:r>
              <w:rPr>
                <w:color w:val="000000"/>
                <w:spacing w:val="0"/>
                <w:w w:val="100"/>
                <w:position w:val="0"/>
                <w:sz w:val="22"/>
                <w:szCs w:val="22"/>
              </w:rPr>
              <w:t>序 号</w:t>
            </w:r>
          </w:p>
        </w:tc>
        <w:tc>
          <w:tcPr>
            <w:tcW w:w="1958" w:type="dxa"/>
            <w:tcBorders>
              <w:top w:val="single" w:sz="4" w:space="0" w:color="auto"/>
              <w:left w:val="single" w:sz="4" w:space="0" w:color="auto"/>
            </w:tcBorders>
            <w:shd w:val="clear" w:color="auto" w:fill="FFFFFF"/>
            <w:vAlign w:val="center"/>
          </w:tcPr>
          <w:p>
            <w:pPr>
              <w:pStyle w:val="a2"/>
              <w:keepNext w:val="0"/>
              <w:keepLines w:val="0"/>
              <w:widowControl w:val="0"/>
              <w:shd w:val="clear" w:color="auto" w:fill="auto"/>
              <w:bidi w:val="0"/>
              <w:spacing w:before="0" w:after="0" w:line="240" w:lineRule="auto"/>
              <w:ind w:left="0" w:right="0" w:firstLine="520"/>
              <w:jc w:val="left"/>
              <w:rPr>
                <w:sz w:val="22"/>
                <w:szCs w:val="22"/>
              </w:rPr>
            </w:pPr>
            <w:r>
              <w:rPr>
                <w:color w:val="000000"/>
                <w:spacing w:val="0"/>
                <w:w w:val="100"/>
                <w:position w:val="0"/>
                <w:sz w:val="22"/>
                <w:szCs w:val="22"/>
              </w:rPr>
              <w:t>税 种</w:t>
            </w:r>
          </w:p>
        </w:tc>
        <w:tc>
          <w:tcPr>
            <w:tcW w:w="443" w:type="dxa"/>
            <w:tcBorders>
              <w:top w:val="single" w:sz="4" w:space="0" w:color="auto"/>
              <w:left w:val="single" w:sz="4" w:space="0" w:color="auto"/>
            </w:tcBorders>
            <w:shd w:val="clear" w:color="auto" w:fill="FFFFFF"/>
            <w:vAlign w:val="bottom"/>
          </w:tcPr>
          <w:p>
            <w:pPr>
              <w:pStyle w:val="a2"/>
              <w:keepNext w:val="0"/>
              <w:keepLines w:val="0"/>
              <w:widowControl w:val="0"/>
              <w:shd w:val="clear" w:color="auto" w:fill="auto"/>
              <w:bidi w:val="0"/>
              <w:spacing w:before="0" w:after="0" w:line="285" w:lineRule="exact"/>
              <w:ind w:left="0" w:right="0" w:firstLine="140"/>
              <w:jc w:val="left"/>
              <w:rPr>
                <w:sz w:val="22"/>
                <w:szCs w:val="22"/>
              </w:rPr>
            </w:pPr>
            <w:r>
              <w:rPr>
                <w:color w:val="000000"/>
                <w:spacing w:val="0"/>
                <w:w w:val="100"/>
                <w:position w:val="0"/>
                <w:sz w:val="22"/>
                <w:szCs w:val="22"/>
              </w:rPr>
              <w:t>中 央 税</w:t>
            </w:r>
          </w:p>
        </w:tc>
        <w:tc>
          <w:tcPr>
            <w:tcW w:w="443" w:type="dxa"/>
            <w:tcBorders>
              <w:top w:val="single" w:sz="4" w:space="0" w:color="auto"/>
              <w:left w:val="single" w:sz="4" w:space="0" w:color="auto"/>
            </w:tcBorders>
            <w:shd w:val="clear" w:color="auto" w:fill="FFFFFF"/>
            <w:textDirection w:val="tbRlV"/>
            <w:vAlign w:val="bottom"/>
          </w:tcPr>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rPr>
              <w:t>地方税</w:t>
            </w:r>
          </w:p>
        </w:tc>
        <w:tc>
          <w:tcPr>
            <w:tcW w:w="443" w:type="dxa"/>
            <w:tcBorders>
              <w:top w:val="single" w:sz="4" w:space="0" w:color="auto"/>
              <w:left w:val="single" w:sz="4" w:space="0" w:color="auto"/>
            </w:tcBorders>
            <w:shd w:val="clear" w:color="auto" w:fill="FFFFFF"/>
            <w:textDirection w:val="tbRlV"/>
            <w:vAlign w:val="bottom"/>
          </w:tcPr>
          <w:p>
            <w:pPr>
              <w:pStyle w:val="20"/>
              <w:keepNext w:val="0"/>
              <w:keepLines w:val="0"/>
              <w:widowControl w:val="0"/>
              <w:shd w:val="clear" w:color="auto" w:fill="auto"/>
              <w:bidi w:val="0"/>
              <w:spacing w:before="0" w:after="0" w:line="240" w:lineRule="auto"/>
              <w:ind w:left="0" w:right="0" w:firstLine="0"/>
              <w:jc w:val="left"/>
            </w:pPr>
            <w:r>
              <w:rPr>
                <w:color w:val="000000"/>
                <w:spacing w:val="0"/>
                <w:w w:val="100"/>
                <w:position w:val="0"/>
              </w:rPr>
              <w:t>共享税</w:t>
            </w:r>
          </w:p>
        </w:tc>
        <w:tc>
          <w:tcPr>
            <w:tcW w:w="7170" w:type="dxa"/>
            <w:tcBorders>
              <w:top w:val="single" w:sz="4" w:space="0" w:color="auto"/>
              <w:left w:val="single" w:sz="4" w:space="0" w:color="auto"/>
              <w:right w:val="single" w:sz="4" w:space="0" w:color="auto"/>
            </w:tcBorders>
            <w:shd w:val="clear" w:color="auto" w:fill="FFFFFF"/>
            <w:vAlign w:val="center"/>
          </w:tcPr>
          <w:p>
            <w:pPr>
              <w:pStyle w:val="a2"/>
              <w:keepNext w:val="0"/>
              <w:keepLines w:val="0"/>
              <w:widowControl w:val="0"/>
              <w:shd w:val="clear" w:color="auto" w:fill="auto"/>
              <w:bidi w:val="0"/>
              <w:spacing w:before="0" w:after="0" w:line="240" w:lineRule="auto"/>
              <w:ind w:left="0" w:right="0" w:firstLine="0"/>
              <w:jc w:val="center"/>
              <w:rPr>
                <w:sz w:val="22"/>
                <w:szCs w:val="22"/>
              </w:rPr>
            </w:pPr>
            <w:r>
              <w:rPr>
                <w:color w:val="000000"/>
                <w:spacing w:val="0"/>
                <w:w w:val="100"/>
                <w:position w:val="0"/>
                <w:sz w:val="22"/>
                <w:szCs w:val="22"/>
              </w:rPr>
              <w:t>备注</w:t>
            </w:r>
          </w:p>
        </w:tc>
      </w:tr>
      <w:tr>
        <w:tblPrEx>
          <w:jc w:val="center"/>
          <w:tblLayout w:type="fixed"/>
          <w:tblCellMar>
            <w:left w:w="10" w:type="dxa"/>
            <w:right w:w="10" w:type="dxa"/>
          </w:tblCellMar>
        </w:tblPrEx>
        <w:trPr>
          <w:trHeight w:hRule="exact" w:val="585"/>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w:t>
            </w:r>
          </w:p>
        </w:tc>
        <w:tc>
          <w:tcPr>
            <w:tcW w:w="1958" w:type="dxa"/>
            <w:tcBorders>
              <w:top w:val="single" w:sz="4" w:space="0" w:color="auto"/>
              <w:left w:val="single" w:sz="4" w:space="0" w:color="auto"/>
            </w:tcBorders>
            <w:shd w:val="clear" w:color="auto" w:fill="FFFFFF"/>
            <w:vAlign w:val="center"/>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增值税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93" w:lineRule="exact"/>
              <w:ind w:left="0" w:right="0" w:firstLine="0"/>
              <w:jc w:val="both"/>
              <w:rPr>
                <w:sz w:val="20"/>
                <w:szCs w:val="20"/>
              </w:rPr>
            </w:pPr>
            <w:r>
              <w:rPr>
                <w:color w:val="000000"/>
                <w:spacing w:val="0"/>
                <w:w w:val="100"/>
                <w:position w:val="0"/>
                <w:sz w:val="22"/>
                <w:szCs w:val="22"/>
              </w:rPr>
              <w:t>海关代征的增值税为中央固定收入：其他为共享收入，中央分享</w:t>
            </w:r>
            <w:r>
              <w:rPr>
                <w:rFonts w:ascii="SimHei" w:eastAsia="SimHei" w:hAnsi="SimHei" w:cs="SimHei"/>
                <w:color w:val="000000"/>
                <w:spacing w:val="0"/>
                <w:w w:val="100"/>
                <w:position w:val="0"/>
                <w:sz w:val="20"/>
                <w:szCs w:val="20"/>
              </w:rPr>
              <w:t>75</w:t>
            </w:r>
            <w:r>
              <w:rPr>
                <w:color w:val="000000"/>
                <w:spacing w:val="0"/>
                <w:w w:val="100"/>
                <w:position w:val="0"/>
                <w:sz w:val="22"/>
                <w:szCs w:val="22"/>
              </w:rPr>
              <w:t>知地 方分享</w:t>
            </w:r>
            <w:r>
              <w:rPr>
                <w:rFonts w:ascii="SimHei" w:eastAsia="SimHei" w:hAnsi="SimHei" w:cs="SimHei"/>
                <w:color w:val="000000"/>
                <w:spacing w:val="0"/>
                <w:w w:val="100"/>
                <w:position w:val="0"/>
                <w:sz w:val="20"/>
                <w:szCs w:val="20"/>
              </w:rPr>
              <w:t>25%</w:t>
            </w:r>
          </w:p>
        </w:tc>
      </w:tr>
      <w:tr>
        <w:tblPrEx>
          <w:jc w:val="center"/>
          <w:tblLayout w:type="fixed"/>
          <w:tblCellMar>
            <w:left w:w="10" w:type="dxa"/>
            <w:right w:w="10" w:type="dxa"/>
          </w:tblCellMar>
        </w:tblPrEx>
        <w:trPr>
          <w:trHeight w:hRule="exact" w:val="293"/>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2</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消费税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both"/>
              <w:rPr>
                <w:sz w:val="22"/>
                <w:szCs w:val="22"/>
              </w:rPr>
            </w:pPr>
            <w:r>
              <w:rPr>
                <w:color w:val="000000"/>
                <w:spacing w:val="0"/>
                <w:w w:val="100"/>
                <w:position w:val="0"/>
                <w:sz w:val="22"/>
                <w:szCs w:val="22"/>
              </w:rPr>
              <w:t>含海关代征的消费税</w:t>
            </w: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3</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营业税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160"/>
              <w:jc w:val="left"/>
              <w:rPr>
                <w:sz w:val="20"/>
                <w:szCs w:val="20"/>
              </w:rPr>
            </w:pPr>
            <w:r>
              <w:rPr>
                <w:rFonts w:ascii="SimHei" w:eastAsia="SimHei" w:hAnsi="SimHei" w:cs="SimHei"/>
                <w:color w:val="000000"/>
                <w:spacing w:val="0"/>
                <w:w w:val="100"/>
                <w:position w:val="0"/>
                <w:sz w:val="20"/>
                <w:szCs w:val="20"/>
              </w:rPr>
              <w:t>V</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both"/>
              <w:rPr>
                <w:sz w:val="22"/>
                <w:szCs w:val="22"/>
              </w:rPr>
            </w:pPr>
            <w:r>
              <w:rPr>
                <w:rFonts w:ascii="SimHei" w:eastAsia="SimHei" w:hAnsi="SimHei" w:cs="SimHei"/>
                <w:color w:val="000000"/>
                <w:spacing w:val="0"/>
                <w:w w:val="100"/>
                <w:position w:val="0"/>
                <w:sz w:val="20"/>
                <w:szCs w:val="20"/>
              </w:rPr>
              <w:t>2016</w:t>
            </w:r>
            <w:r>
              <w:rPr>
                <w:color w:val="000000"/>
                <w:spacing w:val="0"/>
                <w:w w:val="100"/>
                <w:position w:val="0"/>
                <w:sz w:val="22"/>
                <w:szCs w:val="22"/>
              </w:rPr>
              <w:t>年</w:t>
            </w:r>
            <w:r>
              <w:rPr>
                <w:rFonts w:ascii="SimHei" w:eastAsia="SimHei" w:hAnsi="SimHei" w:cs="SimHei"/>
                <w:color w:val="000000"/>
                <w:spacing w:val="0"/>
                <w:w w:val="100"/>
                <w:position w:val="0"/>
                <w:sz w:val="20"/>
                <w:szCs w:val="20"/>
              </w:rPr>
              <w:t>5</w:t>
            </w:r>
            <w:r>
              <w:rPr>
                <w:color w:val="000000"/>
                <w:spacing w:val="0"/>
                <w:w w:val="100"/>
                <w:position w:val="0"/>
                <w:sz w:val="22"/>
                <w:szCs w:val="22"/>
              </w:rPr>
              <w:t>月</w:t>
            </w:r>
            <w:r>
              <w:rPr>
                <w:rFonts w:ascii="SimHei" w:eastAsia="SimHei" w:hAnsi="SimHei" w:cs="SimHei"/>
                <w:color w:val="000000"/>
                <w:spacing w:val="0"/>
                <w:w w:val="100"/>
                <w:position w:val="0"/>
                <w:sz w:val="20"/>
                <w:szCs w:val="20"/>
              </w:rPr>
              <w:t xml:space="preserve">1 </w:t>
            </w:r>
            <w:r>
              <w:rPr>
                <w:color w:val="000000"/>
                <w:spacing w:val="0"/>
                <w:w w:val="100"/>
                <w:position w:val="0"/>
                <w:sz w:val="22"/>
                <w:szCs w:val="22"/>
              </w:rPr>
              <w:t>口全面推开营业税改征增值税后，营业税退出历史舞台。</w:t>
            </w: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4</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关税</w:t>
            </w:r>
          </w:p>
        </w:tc>
        <w:tc>
          <w:tcPr>
            <w:tcW w:w="443"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i/>
                <w:iCs/>
                <w:color w:val="000000"/>
                <w:spacing w:val="0"/>
                <w:w w:val="100"/>
                <w:position w:val="0"/>
                <w:sz w:val="22"/>
                <w:szCs w:val="22"/>
              </w:rPr>
              <w:t>■J</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5</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车辆购置税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both"/>
              <w:rPr>
                <w:sz w:val="22"/>
                <w:szCs w:val="22"/>
              </w:rPr>
            </w:pPr>
            <w:r>
              <w:rPr>
                <w:rFonts w:ascii="SimHei" w:eastAsia="SimHei" w:hAnsi="SimHei" w:cs="SimHei"/>
                <w:color w:val="000000"/>
                <w:spacing w:val="0"/>
                <w:w w:val="100"/>
                <w:position w:val="0"/>
                <w:sz w:val="20"/>
                <w:szCs w:val="20"/>
              </w:rPr>
              <w:t>2001</w:t>
            </w:r>
            <w:r>
              <w:rPr>
                <w:color w:val="000000"/>
                <w:spacing w:val="0"/>
                <w:w w:val="100"/>
                <w:position w:val="0"/>
                <w:sz w:val="22"/>
                <w:szCs w:val="22"/>
              </w:rPr>
              <w:t>年</w:t>
            </w:r>
            <w:r>
              <w:rPr>
                <w:rFonts w:ascii="SimHei" w:eastAsia="SimHei" w:hAnsi="SimHei" w:cs="SimHei"/>
                <w:color w:val="000000"/>
                <w:spacing w:val="0"/>
                <w:w w:val="100"/>
                <w:position w:val="0"/>
                <w:sz w:val="20"/>
                <w:szCs w:val="20"/>
              </w:rPr>
              <w:t>1</w:t>
            </w:r>
            <w:r>
              <w:rPr>
                <w:color w:val="000000"/>
                <w:spacing w:val="0"/>
                <w:w w:val="100"/>
                <w:position w:val="0"/>
                <w:sz w:val="22"/>
                <w:szCs w:val="22"/>
              </w:rPr>
              <w:t>月</w:t>
            </w:r>
            <w:r>
              <w:rPr>
                <w:rFonts w:ascii="SimHei" w:eastAsia="SimHei" w:hAnsi="SimHei" w:cs="SimHei"/>
                <w:color w:val="000000"/>
                <w:spacing w:val="0"/>
                <w:w w:val="100"/>
                <w:position w:val="0"/>
                <w:sz w:val="20"/>
                <w:szCs w:val="20"/>
              </w:rPr>
              <w:t>1</w:t>
            </w:r>
            <w:r>
              <w:rPr>
                <w:color w:val="000000"/>
                <w:spacing w:val="0"/>
                <w:w w:val="100"/>
                <w:position w:val="0"/>
                <w:sz w:val="22"/>
                <w:szCs w:val="22"/>
              </w:rPr>
              <w:t>日起开征</w:t>
            </w:r>
          </w:p>
        </w:tc>
      </w:tr>
      <w:tr>
        <w:tblPrEx>
          <w:jc w:val="center"/>
          <w:tblLayout w:type="fixed"/>
          <w:tblCellMar>
            <w:left w:w="10" w:type="dxa"/>
            <w:right w:w="10" w:type="dxa"/>
          </w:tblCellMar>
        </w:tblPrEx>
        <w:trPr>
          <w:trHeight w:hRule="exact" w:val="87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6</w:t>
            </w:r>
          </w:p>
        </w:tc>
        <w:tc>
          <w:tcPr>
            <w:tcW w:w="1958" w:type="dxa"/>
            <w:tcBorders>
              <w:top w:val="single" w:sz="4" w:space="0" w:color="auto"/>
              <w:left w:val="single" w:sz="4" w:space="0" w:color="auto"/>
            </w:tcBorders>
            <w:shd w:val="clear" w:color="auto" w:fill="FFFFFF"/>
            <w:vAlign w:val="center"/>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企业所得税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180"/>
              <w:jc w:val="left"/>
              <w:rPr>
                <w:sz w:val="22"/>
                <w:szCs w:val="22"/>
              </w:rPr>
            </w:pPr>
            <w:r>
              <w:rPr>
                <w:rFonts w:ascii="Times New Roman" w:eastAsia="Times New Roman" w:hAnsi="Times New Roman" w:cs="Times New Roman"/>
                <w:i/>
                <w:iCs/>
                <w:color w:val="000000"/>
                <w:spacing w:val="0"/>
                <w:w w:val="100"/>
                <w:position w:val="0"/>
                <w:sz w:val="22"/>
                <w:szCs w:val="22"/>
              </w:rPr>
              <w:t>■J</w:t>
            </w: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85" w:lineRule="exact"/>
              <w:ind w:left="0" w:right="0" w:firstLine="0"/>
              <w:jc w:val="both"/>
              <w:rPr>
                <w:sz w:val="20"/>
                <w:szCs w:val="20"/>
              </w:rPr>
            </w:pPr>
            <w:r>
              <w:rPr>
                <w:rFonts w:ascii="SimHei" w:eastAsia="SimHei" w:hAnsi="SimHei" w:cs="SimHei"/>
                <w:color w:val="000000"/>
                <w:spacing w:val="0"/>
                <w:w w:val="100"/>
                <w:position w:val="0"/>
                <w:sz w:val="20"/>
                <w:szCs w:val="20"/>
              </w:rPr>
              <w:t>2002</w:t>
            </w:r>
            <w:r>
              <w:rPr>
                <w:color w:val="000000"/>
                <w:spacing w:val="0"/>
                <w:w w:val="100"/>
                <w:position w:val="0"/>
                <w:sz w:val="22"/>
                <w:szCs w:val="22"/>
              </w:rPr>
              <w:t>年起，铁路运输、邮电、各银行总行以及海洋石油天然气企业缴纳 的所得税为中央固定收入；其他由中央与地方共享，中央分享</w:t>
            </w:r>
            <w:r>
              <w:rPr>
                <w:rFonts w:ascii="SimHei" w:eastAsia="SimHei" w:hAnsi="SimHei" w:cs="SimHei"/>
                <w:color w:val="000000"/>
                <w:spacing w:val="0"/>
                <w:w w:val="100"/>
                <w:position w:val="0"/>
                <w:sz w:val="20"/>
                <w:szCs w:val="20"/>
              </w:rPr>
              <w:t>60%；</w:t>
            </w:r>
            <w:r>
              <w:rPr>
                <w:color w:val="000000"/>
                <w:spacing w:val="0"/>
                <w:w w:val="100"/>
                <w:position w:val="0"/>
                <w:sz w:val="22"/>
                <w:szCs w:val="22"/>
              </w:rPr>
              <w:t>地方 政府分享</w:t>
            </w:r>
            <w:r>
              <w:rPr>
                <w:rFonts w:ascii="SimHei" w:eastAsia="SimHei" w:hAnsi="SimHei" w:cs="SimHei"/>
                <w:color w:val="000000"/>
                <w:spacing w:val="0"/>
                <w:w w:val="100"/>
                <w:position w:val="0"/>
                <w:sz w:val="20"/>
                <w:szCs w:val="20"/>
              </w:rPr>
              <w:t>40%</w:t>
            </w: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7</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个人所得税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180"/>
              <w:jc w:val="left"/>
              <w:rPr>
                <w:sz w:val="22"/>
                <w:szCs w:val="22"/>
              </w:rPr>
            </w:pPr>
            <w:r>
              <w:rPr>
                <w:rFonts w:ascii="Times New Roman" w:eastAsia="Times New Roman" w:hAnsi="Times New Roman" w:cs="Times New Roman"/>
                <w:i/>
                <w:iCs/>
                <w:color w:val="000000"/>
                <w:spacing w:val="0"/>
                <w:w w:val="100"/>
                <w:position w:val="0"/>
                <w:sz w:val="22"/>
                <w:szCs w:val="22"/>
              </w:rPr>
              <w:t>■J</w:t>
            </w: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both"/>
              <w:rPr>
                <w:sz w:val="20"/>
                <w:szCs w:val="20"/>
              </w:rPr>
            </w:pPr>
            <w:r>
              <w:rPr>
                <w:color w:val="000000"/>
                <w:spacing w:val="0"/>
                <w:w w:val="100"/>
                <w:position w:val="0"/>
                <w:sz w:val="22"/>
                <w:szCs w:val="22"/>
              </w:rPr>
              <w:t>从</w:t>
            </w:r>
            <w:r>
              <w:rPr>
                <w:rFonts w:ascii="SimHei" w:eastAsia="SimHei" w:hAnsi="SimHei" w:cs="SimHei"/>
                <w:color w:val="000000"/>
                <w:spacing w:val="0"/>
                <w:w w:val="100"/>
                <w:position w:val="0"/>
                <w:sz w:val="20"/>
                <w:szCs w:val="20"/>
              </w:rPr>
              <w:t>2002</w:t>
            </w:r>
            <w:r>
              <w:rPr>
                <w:color w:val="000000"/>
                <w:spacing w:val="0"/>
                <w:w w:val="100"/>
                <w:position w:val="0"/>
                <w:sz w:val="22"/>
                <w:szCs w:val="22"/>
              </w:rPr>
              <w:t>年起调整为共享税，中央分享</w:t>
            </w:r>
            <w:r>
              <w:rPr>
                <w:rFonts w:ascii="SimHei" w:eastAsia="SimHei" w:hAnsi="SimHei" w:cs="SimHei"/>
                <w:color w:val="000000"/>
                <w:spacing w:val="0"/>
                <w:w w:val="100"/>
                <w:position w:val="0"/>
                <w:sz w:val="20"/>
                <w:szCs w:val="20"/>
              </w:rPr>
              <w:t>60</w:t>
            </w:r>
            <w:r>
              <w:rPr>
                <w:color w:val="000000"/>
                <w:spacing w:val="0"/>
                <w:w w:val="100"/>
                <w:position w:val="0"/>
                <w:sz w:val="22"/>
                <w:szCs w:val="22"/>
              </w:rPr>
              <w:t>如：地方政府分享</w:t>
            </w:r>
            <w:r>
              <w:rPr>
                <w:rFonts w:ascii="SimHei" w:eastAsia="SimHei" w:hAnsi="SimHei" w:cs="SimHei"/>
                <w:color w:val="000000"/>
                <w:spacing w:val="0"/>
                <w:w w:val="100"/>
                <w:position w:val="0"/>
                <w:sz w:val="20"/>
                <w:szCs w:val="20"/>
              </w:rPr>
              <w:t>40%</w:t>
            </w: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8</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房产税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160"/>
              <w:jc w:val="left"/>
              <w:rPr>
                <w:sz w:val="20"/>
                <w:szCs w:val="20"/>
              </w:rPr>
            </w:pPr>
            <w:r>
              <w:rPr>
                <w:rFonts w:ascii="SimHei" w:eastAsia="SimHei" w:hAnsi="SimHei" w:cs="SimHei"/>
                <w:color w:val="000000"/>
                <w:spacing w:val="0"/>
                <w:w w:val="100"/>
                <w:position w:val="0"/>
                <w:sz w:val="20"/>
                <w:szCs w:val="20"/>
              </w:rPr>
              <w:t>V</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93"/>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9</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城镇土地使用税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585"/>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10</w:t>
            </w:r>
          </w:p>
        </w:tc>
        <w:tc>
          <w:tcPr>
            <w:tcW w:w="1958" w:type="dxa"/>
            <w:tcBorders>
              <w:top w:val="single" w:sz="4" w:space="0" w:color="auto"/>
              <w:left w:val="single" w:sz="4" w:space="0" w:color="auto"/>
            </w:tcBorders>
            <w:shd w:val="clear" w:color="auto" w:fill="FFFFFF"/>
            <w:vAlign w:val="center"/>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车船税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bottom"/>
          </w:tcPr>
          <w:p>
            <w:pPr>
              <w:pStyle w:val="a2"/>
              <w:keepNext w:val="0"/>
              <w:keepLines w:val="0"/>
              <w:widowControl w:val="0"/>
              <w:shd w:val="clear" w:color="auto" w:fill="auto"/>
              <w:bidi w:val="0"/>
              <w:spacing w:before="0" w:after="0" w:line="308" w:lineRule="exact"/>
              <w:ind w:left="0" w:right="0" w:firstLine="0"/>
              <w:jc w:val="both"/>
              <w:rPr>
                <w:sz w:val="22"/>
                <w:szCs w:val="22"/>
              </w:rPr>
            </w:pPr>
            <w:r>
              <w:rPr>
                <w:rFonts w:ascii="SimHei" w:eastAsia="SimHei" w:hAnsi="SimHei" w:cs="SimHei"/>
                <w:color w:val="000000"/>
                <w:spacing w:val="0"/>
                <w:w w:val="100"/>
                <w:position w:val="0"/>
                <w:sz w:val="20"/>
                <w:szCs w:val="20"/>
              </w:rPr>
              <w:t>2007</w:t>
            </w:r>
            <w:r>
              <w:rPr>
                <w:color w:val="000000"/>
                <w:spacing w:val="0"/>
                <w:w w:val="100"/>
                <w:position w:val="0"/>
                <w:sz w:val="22"/>
                <w:szCs w:val="22"/>
              </w:rPr>
              <w:t>年</w:t>
            </w:r>
            <w:r>
              <w:rPr>
                <w:rFonts w:ascii="SimHei" w:eastAsia="SimHei" w:hAnsi="SimHei" w:cs="SimHei"/>
                <w:color w:val="000000"/>
                <w:spacing w:val="0"/>
                <w:w w:val="100"/>
                <w:position w:val="0"/>
                <w:sz w:val="20"/>
                <w:szCs w:val="20"/>
              </w:rPr>
              <w:t>1</w:t>
            </w:r>
            <w:r>
              <w:rPr>
                <w:color w:val="000000"/>
                <w:spacing w:val="0"/>
                <w:w w:val="100"/>
                <w:position w:val="0"/>
                <w:sz w:val="22"/>
                <w:szCs w:val="22"/>
              </w:rPr>
              <w:t>月</w:t>
            </w:r>
            <w:r>
              <w:rPr>
                <w:rFonts w:ascii="SimHei" w:eastAsia="SimHei" w:hAnsi="SimHei" w:cs="SimHei"/>
                <w:color w:val="000000"/>
                <w:spacing w:val="0"/>
                <w:w w:val="100"/>
                <w:position w:val="0"/>
                <w:sz w:val="20"/>
                <w:szCs w:val="20"/>
              </w:rPr>
              <w:t>1</w:t>
            </w:r>
            <w:r>
              <w:rPr>
                <w:color w:val="000000"/>
                <w:spacing w:val="0"/>
                <w:w w:val="100"/>
                <w:position w:val="0"/>
                <w:sz w:val="22"/>
                <w:szCs w:val="22"/>
              </w:rPr>
              <w:t>日由车船使用税改为车船税，从</w:t>
            </w:r>
            <w:r>
              <w:rPr>
                <w:rFonts w:ascii="SimHei" w:eastAsia="SimHei" w:hAnsi="SimHei" w:cs="SimHei"/>
                <w:color w:val="000000"/>
                <w:spacing w:val="0"/>
                <w:w w:val="100"/>
                <w:position w:val="0"/>
                <w:sz w:val="20"/>
                <w:szCs w:val="20"/>
              </w:rPr>
              <w:t>2012</w:t>
            </w:r>
            <w:r>
              <w:rPr>
                <w:color w:val="000000"/>
                <w:spacing w:val="0"/>
                <w:w w:val="100"/>
                <w:position w:val="0"/>
                <w:sz w:val="22"/>
                <w:szCs w:val="22"/>
              </w:rPr>
              <w:t>年</w:t>
            </w:r>
            <w:r>
              <w:rPr>
                <w:rFonts w:ascii="SimHei" w:eastAsia="SimHei" w:hAnsi="SimHei" w:cs="SimHei"/>
                <w:color w:val="000000"/>
                <w:spacing w:val="0"/>
                <w:w w:val="100"/>
                <w:position w:val="0"/>
                <w:sz w:val="20"/>
                <w:szCs w:val="20"/>
              </w:rPr>
              <w:t>1</w:t>
            </w:r>
            <w:r>
              <w:rPr>
                <w:color w:val="000000"/>
                <w:spacing w:val="0"/>
                <w:w w:val="100"/>
                <w:position w:val="0"/>
                <w:sz w:val="22"/>
                <w:szCs w:val="22"/>
              </w:rPr>
              <w:t>月</w:t>
            </w:r>
            <w:r>
              <w:rPr>
                <w:rFonts w:ascii="SimHei" w:eastAsia="SimHei" w:hAnsi="SimHei" w:cs="SimHei"/>
                <w:color w:val="000000"/>
                <w:spacing w:val="0"/>
                <w:w w:val="100"/>
                <w:position w:val="0"/>
                <w:sz w:val="20"/>
                <w:szCs w:val="20"/>
              </w:rPr>
              <w:t>1</w:t>
            </w:r>
            <w:r>
              <w:rPr>
                <w:color w:val="000000"/>
                <w:spacing w:val="0"/>
                <w:w w:val="100"/>
                <w:position w:val="0"/>
                <w:sz w:val="22"/>
                <w:szCs w:val="22"/>
              </w:rPr>
              <w:t>日起执行新 的车船税法</w:t>
            </w:r>
          </w:p>
        </w:tc>
      </w:tr>
      <w:tr>
        <w:tblPrEx>
          <w:jc w:val="center"/>
          <w:tblLayout w:type="fixed"/>
          <w:tblCellMar>
            <w:left w:w="10" w:type="dxa"/>
            <w:right w:w="10" w:type="dxa"/>
          </w:tblCellMar>
        </w:tblPrEx>
        <w:trPr>
          <w:trHeight w:hRule="exact" w:val="585"/>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11</w:t>
            </w:r>
          </w:p>
        </w:tc>
        <w:tc>
          <w:tcPr>
            <w:tcW w:w="1958" w:type="dxa"/>
            <w:tcBorders>
              <w:top w:val="single" w:sz="4" w:space="0" w:color="auto"/>
              <w:left w:val="single" w:sz="4" w:space="0" w:color="auto"/>
            </w:tcBorders>
            <w:shd w:val="clear" w:color="auto" w:fill="FFFFFF"/>
            <w:vAlign w:val="center"/>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印花税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bottom"/>
          </w:tcPr>
          <w:p>
            <w:pPr>
              <w:pStyle w:val="a2"/>
              <w:keepNext w:val="0"/>
              <w:keepLines w:val="0"/>
              <w:widowControl w:val="0"/>
              <w:shd w:val="clear" w:color="auto" w:fill="auto"/>
              <w:bidi w:val="0"/>
              <w:spacing w:before="0" w:after="0" w:line="292" w:lineRule="exact"/>
              <w:ind w:left="0" w:right="0" w:firstLine="0"/>
              <w:jc w:val="both"/>
              <w:rPr>
                <w:sz w:val="22"/>
                <w:szCs w:val="22"/>
              </w:rPr>
            </w:pPr>
            <w:r>
              <w:rPr>
                <w:color w:val="000000"/>
                <w:spacing w:val="0"/>
                <w:w w:val="100"/>
                <w:position w:val="0"/>
                <w:sz w:val="22"/>
                <w:szCs w:val="22"/>
              </w:rPr>
              <w:t>证券交易印花税，中央与地方分成，</w:t>
            </w:r>
            <w:r>
              <w:rPr>
                <w:rFonts w:ascii="SimHei" w:eastAsia="SimHei" w:hAnsi="SimHei" w:cs="SimHei"/>
                <w:color w:val="000000"/>
                <w:spacing w:val="0"/>
                <w:w w:val="100"/>
                <w:position w:val="0"/>
                <w:sz w:val="20"/>
                <w:szCs w:val="20"/>
              </w:rPr>
              <w:t>97%</w:t>
            </w:r>
            <w:r>
              <w:rPr>
                <w:color w:val="000000"/>
                <w:spacing w:val="0"/>
                <w:w w:val="100"/>
                <w:position w:val="0"/>
                <w:sz w:val="22"/>
                <w:szCs w:val="22"/>
              </w:rPr>
              <w:t>归中央政府，其余</w:t>
            </w:r>
            <w:r>
              <w:rPr>
                <w:rFonts w:ascii="SimHei" w:eastAsia="SimHei" w:hAnsi="SimHei" w:cs="SimHei"/>
                <w:color w:val="000000"/>
                <w:spacing w:val="0"/>
                <w:w w:val="100"/>
                <w:position w:val="0"/>
                <w:sz w:val="20"/>
                <w:szCs w:val="20"/>
              </w:rPr>
              <w:t>3%</w:t>
            </w:r>
            <w:r>
              <w:rPr>
                <w:color w:val="000000"/>
                <w:spacing w:val="0"/>
                <w:w w:val="100"/>
                <w:position w:val="0"/>
                <w:sz w:val="22"/>
                <w:szCs w:val="22"/>
              </w:rPr>
              <w:t>和其他印花 税收入归地方政府</w:t>
            </w:r>
          </w:p>
        </w:tc>
      </w:tr>
      <w:tr>
        <w:tblPrEx>
          <w:jc w:val="center"/>
          <w:tblLayout w:type="fixed"/>
          <w:tblCellMar>
            <w:left w:w="10" w:type="dxa"/>
            <w:right w:w="10" w:type="dxa"/>
          </w:tblCellMar>
        </w:tblPrEx>
        <w:trPr>
          <w:trHeight w:hRule="exact" w:val="578"/>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rFonts w:ascii="Times New Roman" w:eastAsia="Times New Roman" w:hAnsi="Times New Roman" w:cs="Times New Roman"/>
                <w:i/>
                <w:iCs/>
                <w:color w:val="000000"/>
                <w:spacing w:val="0"/>
                <w:w w:val="100"/>
                <w:position w:val="0"/>
                <w:sz w:val="22"/>
                <w:szCs w:val="22"/>
              </w:rPr>
              <w:t>12</w:t>
            </w:r>
          </w:p>
        </w:tc>
        <w:tc>
          <w:tcPr>
            <w:tcW w:w="1958" w:type="dxa"/>
            <w:tcBorders>
              <w:top w:val="single" w:sz="4" w:space="0" w:color="auto"/>
              <w:left w:val="single" w:sz="4" w:space="0" w:color="auto"/>
            </w:tcBorders>
            <w:shd w:val="clear" w:color="auto" w:fill="FFFFFF"/>
            <w:vAlign w:val="center"/>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城市维护建设税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bottom"/>
          </w:tcPr>
          <w:p>
            <w:pPr>
              <w:pStyle w:val="a2"/>
              <w:keepNext w:val="0"/>
              <w:keepLines w:val="0"/>
              <w:widowControl w:val="0"/>
              <w:shd w:val="clear" w:color="auto" w:fill="auto"/>
              <w:bidi w:val="0"/>
              <w:spacing w:before="0" w:after="0" w:line="292" w:lineRule="exact"/>
              <w:ind w:left="0" w:right="0" w:firstLine="0"/>
              <w:jc w:val="both"/>
              <w:rPr>
                <w:sz w:val="22"/>
                <w:szCs w:val="22"/>
              </w:rPr>
            </w:pPr>
            <w:r>
              <w:rPr>
                <w:color w:val="000000"/>
                <w:spacing w:val="0"/>
                <w:w w:val="100"/>
                <w:position w:val="0"/>
                <w:sz w:val="22"/>
                <w:szCs w:val="22"/>
              </w:rPr>
              <w:t>铁路部门、各银行总行、各保险总公司等集中缴纳的城市维护建设税为 中央固定收入，其它为地方收入</w:t>
            </w: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13</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土地增值税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14</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契税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15</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耕地占用税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160"/>
              <w:jc w:val="left"/>
              <w:rPr>
                <w:sz w:val="20"/>
                <w:szCs w:val="20"/>
              </w:rPr>
            </w:pPr>
            <w:r>
              <w:rPr>
                <w:rFonts w:ascii="SimHei" w:eastAsia="SimHei" w:hAnsi="SimHei" w:cs="SimHei"/>
                <w:color w:val="000000"/>
                <w:spacing w:val="0"/>
                <w:w w:val="100"/>
                <w:position w:val="0"/>
                <w:sz w:val="20"/>
                <w:szCs w:val="20"/>
              </w:rPr>
              <w:t>V</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widowControl w:val="0"/>
              <w:rPr>
                <w:sz w:val="10"/>
                <w:szCs w:val="10"/>
              </w:rPr>
            </w:pPr>
          </w:p>
        </w:tc>
      </w:tr>
      <w:tr>
        <w:tblPrEx>
          <w:jc w:val="center"/>
          <w:tblLayout w:type="fixed"/>
          <w:tblCellMar>
            <w:left w:w="10" w:type="dxa"/>
            <w:right w:w="10" w:type="dxa"/>
          </w:tblCellMar>
        </w:tblPrEx>
        <w:trPr>
          <w:trHeight w:hRule="exact" w:val="293"/>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16</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资源税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160"/>
              <w:jc w:val="left"/>
              <w:rPr>
                <w:sz w:val="20"/>
                <w:szCs w:val="20"/>
              </w:rPr>
            </w:pPr>
            <w:r>
              <w:rPr>
                <w:rFonts w:ascii="SimHei" w:eastAsia="SimHei" w:hAnsi="SimHei" w:cs="SimHei"/>
                <w:color w:val="000000"/>
                <w:spacing w:val="0"/>
                <w:w w:val="100"/>
                <w:position w:val="0"/>
                <w:sz w:val="20"/>
                <w:szCs w:val="20"/>
              </w:rPr>
              <w:t>V</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both"/>
              <w:rPr>
                <w:sz w:val="22"/>
                <w:szCs w:val="22"/>
              </w:rPr>
            </w:pPr>
            <w:r>
              <w:rPr>
                <w:color w:val="000000"/>
                <w:spacing w:val="0"/>
                <w:w w:val="100"/>
                <w:position w:val="0"/>
                <w:sz w:val="22"/>
                <w:szCs w:val="22"/>
              </w:rPr>
              <w:t>海洋石油企业缴纳的部分作为中央固定收入，其余归地方政府</w:t>
            </w:r>
          </w:p>
        </w:tc>
      </w:tr>
      <w:tr>
        <w:tblPrEx>
          <w:jc w:val="center"/>
          <w:tblLayout w:type="fixed"/>
          <w:tblCellMar>
            <w:left w:w="10" w:type="dxa"/>
            <w:right w:w="10" w:type="dxa"/>
          </w:tblCellMar>
        </w:tblPrEx>
        <w:trPr>
          <w:trHeight w:hRule="exact" w:val="300"/>
          <w:jc w:val="center"/>
        </w:trPr>
        <w:tc>
          <w:tcPr>
            <w:tcW w:w="66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17</w:t>
            </w:r>
          </w:p>
        </w:tc>
        <w:tc>
          <w:tcPr>
            <w:tcW w:w="1958" w:type="dxa"/>
            <w:tcBorders>
              <w:top w:val="single" w:sz="4" w:space="0" w:color="auto"/>
              <w:lef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烟叶税</w:t>
            </w: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both"/>
              <w:rPr>
                <w:sz w:val="22"/>
                <w:szCs w:val="22"/>
              </w:rPr>
            </w:pPr>
            <w:r>
              <w:rPr>
                <w:rFonts w:ascii="SimHei" w:eastAsia="SimHei" w:hAnsi="SimHei" w:cs="SimHei"/>
                <w:color w:val="000000"/>
                <w:spacing w:val="0"/>
                <w:w w:val="100"/>
                <w:position w:val="0"/>
                <w:sz w:val="20"/>
                <w:szCs w:val="20"/>
              </w:rPr>
              <w:t>2006</w:t>
            </w:r>
            <w:r>
              <w:rPr>
                <w:color w:val="000000"/>
                <w:spacing w:val="0"/>
                <w:w w:val="100"/>
                <w:position w:val="0"/>
                <w:sz w:val="22"/>
                <w:szCs w:val="22"/>
              </w:rPr>
              <w:t>年</w:t>
            </w:r>
            <w:r>
              <w:rPr>
                <w:rFonts w:ascii="SimHei" w:eastAsia="SimHei" w:hAnsi="SimHei" w:cs="SimHei"/>
                <w:color w:val="000000"/>
                <w:spacing w:val="0"/>
                <w:w w:val="100"/>
                <w:position w:val="0"/>
                <w:sz w:val="20"/>
                <w:szCs w:val="20"/>
              </w:rPr>
              <w:t>4</w:t>
            </w:r>
            <w:r>
              <w:rPr>
                <w:color w:val="000000"/>
                <w:spacing w:val="0"/>
                <w:w w:val="100"/>
                <w:position w:val="0"/>
                <w:sz w:val="22"/>
                <w:szCs w:val="22"/>
              </w:rPr>
              <w:t>月</w:t>
            </w:r>
            <w:r>
              <w:rPr>
                <w:rFonts w:ascii="SimHei" w:eastAsia="SimHei" w:hAnsi="SimHei" w:cs="SimHei"/>
                <w:color w:val="000000"/>
                <w:spacing w:val="0"/>
                <w:w w:val="100"/>
                <w:position w:val="0"/>
                <w:sz w:val="20"/>
                <w:szCs w:val="20"/>
              </w:rPr>
              <w:t>1</w:t>
            </w:r>
            <w:r>
              <w:rPr>
                <w:color w:val="000000"/>
                <w:spacing w:val="0"/>
                <w:w w:val="100"/>
                <w:position w:val="0"/>
                <w:sz w:val="22"/>
                <w:szCs w:val="22"/>
              </w:rPr>
              <w:t>日起开征</w:t>
            </w:r>
          </w:p>
        </w:tc>
      </w:tr>
      <w:tr>
        <w:tblPrEx>
          <w:jc w:val="center"/>
          <w:tblLayout w:type="fixed"/>
          <w:tblCellMar>
            <w:left w:w="10" w:type="dxa"/>
            <w:right w:w="10" w:type="dxa"/>
          </w:tblCellMar>
        </w:tblPrEx>
        <w:trPr>
          <w:trHeight w:hRule="exact" w:val="315"/>
          <w:jc w:val="center"/>
        </w:trPr>
        <w:tc>
          <w:tcPr>
            <w:tcW w:w="668" w:type="dxa"/>
            <w:tcBorders>
              <w:top w:val="single" w:sz="4" w:space="0" w:color="auto"/>
              <w:left w:val="single" w:sz="4" w:space="0" w:color="auto"/>
              <w:bottom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0"/>
                <w:szCs w:val="20"/>
              </w:rPr>
            </w:pPr>
            <w:r>
              <w:rPr>
                <w:rFonts w:ascii="SimHei" w:eastAsia="SimHei" w:hAnsi="SimHei" w:cs="SimHei"/>
                <w:color w:val="000000"/>
                <w:spacing w:val="0"/>
                <w:w w:val="100"/>
                <w:position w:val="0"/>
                <w:sz w:val="20"/>
                <w:szCs w:val="20"/>
              </w:rPr>
              <w:t>18</w:t>
            </w:r>
          </w:p>
        </w:tc>
        <w:tc>
          <w:tcPr>
            <w:tcW w:w="1958" w:type="dxa"/>
            <w:tcBorders>
              <w:top w:val="single" w:sz="4" w:space="0" w:color="auto"/>
              <w:left w:val="single" w:sz="4" w:space="0" w:color="auto"/>
              <w:bottom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left"/>
              <w:rPr>
                <w:sz w:val="22"/>
                <w:szCs w:val="22"/>
              </w:rPr>
            </w:pPr>
            <w:r>
              <w:rPr>
                <w:color w:val="000000"/>
                <w:spacing w:val="0"/>
                <w:w w:val="100"/>
                <w:position w:val="0"/>
                <w:sz w:val="22"/>
                <w:szCs w:val="22"/>
              </w:rPr>
              <w:t>船舶吨税</w:t>
            </w:r>
          </w:p>
        </w:tc>
        <w:tc>
          <w:tcPr>
            <w:tcW w:w="44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443" w:type="dxa"/>
            <w:tcBorders>
              <w:top w:val="single" w:sz="4" w:space="0" w:color="auto"/>
              <w:left w:val="single" w:sz="4" w:space="0" w:color="auto"/>
              <w:bottom w:val="single" w:sz="4" w:space="0" w:color="auto"/>
            </w:tcBorders>
            <w:shd w:val="clear" w:color="auto" w:fill="FFFFFF"/>
            <w:vAlign w:val="top"/>
          </w:tcPr>
          <w:p>
            <w:pPr>
              <w:widowControl w:val="0"/>
              <w:rPr>
                <w:sz w:val="10"/>
                <w:szCs w:val="10"/>
              </w:rPr>
            </w:pPr>
          </w:p>
        </w:tc>
        <w:tc>
          <w:tcPr>
            <w:tcW w:w="7170" w:type="dxa"/>
            <w:tcBorders>
              <w:top w:val="single" w:sz="4" w:space="0" w:color="auto"/>
              <w:left w:val="single" w:sz="4" w:space="0" w:color="auto"/>
              <w:bottom w:val="single" w:sz="4" w:space="0" w:color="auto"/>
              <w:right w:val="single" w:sz="4" w:space="0" w:color="auto"/>
            </w:tcBorders>
            <w:shd w:val="clear" w:color="auto" w:fill="FFFFFF"/>
            <w:vAlign w:val="top"/>
          </w:tcPr>
          <w:p>
            <w:pPr>
              <w:pStyle w:val="a2"/>
              <w:keepNext w:val="0"/>
              <w:keepLines w:val="0"/>
              <w:widowControl w:val="0"/>
              <w:shd w:val="clear" w:color="auto" w:fill="auto"/>
              <w:bidi w:val="0"/>
              <w:spacing w:before="0" w:after="0" w:line="240" w:lineRule="auto"/>
              <w:ind w:left="0" w:right="0" w:firstLine="0"/>
              <w:jc w:val="both"/>
              <w:rPr>
                <w:sz w:val="22"/>
                <w:szCs w:val="22"/>
              </w:rPr>
            </w:pPr>
            <w:r>
              <w:rPr>
                <w:color w:val="000000"/>
                <w:spacing w:val="0"/>
                <w:w w:val="100"/>
                <w:position w:val="0"/>
                <w:sz w:val="22"/>
                <w:szCs w:val="22"/>
              </w:rPr>
              <w:t>仅对境外港曰进入境内的船舶征税</w:t>
            </w:r>
          </w:p>
        </w:tc>
      </w:tr>
    </w:tbl>
    <w:p>
      <w:pPr>
        <w:widowControl w:val="0"/>
        <w:spacing w:after="379" w:line="1" w:lineRule="exact"/>
      </w:pPr>
      <w:r>
        <w:rPr>
          <w:color w:val="1515F4"/>
          <w:spacing w:val="0"/>
          <w:w w:val="100"/>
          <w:position w:val="0"/>
          <w:sz w:val="24"/>
          <w:szCs w:val="24"/>
        </w:rPr>
        <w:t>【视频】</w:t>
      </w:r>
      <w:r>
        <w:rPr>
          <w:color w:val="595AF0"/>
          <w:spacing w:val="0"/>
          <w:w w:val="100"/>
          <w:position w:val="0"/>
          <w:sz w:val="24"/>
          <w:szCs w:val="24"/>
        </w:rPr>
        <w:t>马斌说税：概说纳税与征税</w:t>
      </w:r>
    </w:p>
    <w:sectPr>
      <w:pgSz w:w="12240" w:h="20160"/>
      <w:pgMar w:top="1450" w:right="557" w:bottom="1418" w:left="561"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3CECE7D"/>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13B30B3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24495493"/>
    <w:multiLevelType w:val="multilevel"/>
    <w:tmpl w:val="00000000"/>
    <w:lvl w:ilvl="0">
      <w:start w:val="1"/>
      <w:numFmt w:val="decimal"/>
      <w:lvlText w:val="%1."/>
      <w:lvlJc w:val="left"/>
      <w:rPr>
        <w:rFonts w:ascii="Arial" w:eastAsia="Arial" w:hAnsi="Arial" w:cs="Arial"/>
        <w:b w:val="0"/>
        <w:bCs w:val="0"/>
        <w:i w:val="0"/>
        <w:iCs w:val="0"/>
        <w:smallCaps w:val="0"/>
        <w:strike w:val="0"/>
        <w:color w:val="000000"/>
        <w:spacing w:val="0"/>
        <w:w w:val="100"/>
        <w:position w:val="0"/>
        <w:sz w:val="22"/>
        <w:szCs w:val="22"/>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6F5AEC44"/>
    <w:multiLevelType w:val="multilevel"/>
    <w:tmpl w:val="00000000"/>
    <w:lvl w:ilvl="0">
      <w:start w:val="1"/>
      <w:numFmt w:val="decimalEnclosedCircle"/>
      <w:lvlText w:val="%1"/>
      <w:lvlJc w:val="left"/>
      <w:rPr>
        <w:rFonts w:ascii="SimSun" w:eastAsia="SimSun" w:hAnsi="SimSun" w:cs="SimSun"/>
        <w:b w:val="0"/>
        <w:bCs w:val="0"/>
        <w:i w:val="0"/>
        <w:iCs w:val="0"/>
        <w:smallCaps w:val="0"/>
        <w:strike w:val="0"/>
        <w:color w:val="000000"/>
        <w:spacing w:val="0"/>
        <w:w w:val="100"/>
        <w:position w:val="0"/>
        <w:sz w:val="24"/>
        <w:szCs w:val="24"/>
        <w:u w:val="none"/>
        <w:shd w:val="clear" w:color="auto" w:fill="auto"/>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1">
    <w:name w:val="标题 #1_"/>
    <w:basedOn w:val="DefaultParagraphFont"/>
    <w:link w:val="10"/>
    <w:rPr>
      <w:rFonts w:ascii="SimSun" w:eastAsia="SimSun" w:hAnsi="SimSun" w:cs="SimSun"/>
      <w:b w:val="0"/>
      <w:bCs w:val="0"/>
      <w:i w:val="0"/>
      <w:iCs w:val="0"/>
      <w:smallCaps w:val="0"/>
      <w:strike w:val="0"/>
      <w:sz w:val="52"/>
      <w:szCs w:val="52"/>
      <w:u w:val="none"/>
      <w:shd w:val="clear" w:color="auto" w:fill="auto"/>
    </w:rPr>
  </w:style>
  <w:style w:type="character" w:customStyle="1" w:styleId="a">
    <w:name w:val="正文文本_"/>
    <w:basedOn w:val="DefaultParagraphFont"/>
    <w:link w:val="a1"/>
    <w:rPr>
      <w:rFonts w:ascii="SimSun" w:eastAsia="SimSun" w:hAnsi="SimSun" w:cs="SimSun"/>
      <w:b w:val="0"/>
      <w:bCs w:val="0"/>
      <w:i w:val="0"/>
      <w:iCs w:val="0"/>
      <w:smallCaps w:val="0"/>
      <w:strike w:val="0"/>
      <w:u w:val="none"/>
      <w:shd w:val="clear" w:color="auto" w:fill="auto"/>
    </w:rPr>
  </w:style>
  <w:style w:type="character" w:customStyle="1" w:styleId="a0">
    <w:name w:val="其他_"/>
    <w:basedOn w:val="DefaultParagraphFont"/>
    <w:link w:val="a2"/>
    <w:rPr>
      <w:rFonts w:ascii="SimSun" w:eastAsia="SimSun" w:hAnsi="SimSun" w:cs="SimSun"/>
      <w:b w:val="0"/>
      <w:bCs w:val="0"/>
      <w:i w:val="0"/>
      <w:iCs w:val="0"/>
      <w:smallCaps w:val="0"/>
      <w:strike w:val="0"/>
      <w:u w:val="none"/>
      <w:shd w:val="clear" w:color="auto" w:fill="auto"/>
    </w:rPr>
  </w:style>
  <w:style w:type="character" w:customStyle="1" w:styleId="2">
    <w:name w:val="其他 (2)_"/>
    <w:basedOn w:val="DefaultParagraphFont"/>
    <w:link w:val="20"/>
    <w:rPr>
      <w:rFonts w:ascii="SimSun" w:eastAsia="SimSun" w:hAnsi="SimSun" w:cs="SimSun"/>
      <w:b w:val="0"/>
      <w:bCs w:val="0"/>
      <w:i w:val="0"/>
      <w:iCs w:val="0"/>
      <w:smallCaps w:val="0"/>
      <w:strike w:val="0"/>
      <w:sz w:val="20"/>
      <w:szCs w:val="20"/>
      <w:u w:val="none"/>
      <w:shd w:val="clear" w:color="auto" w:fill="auto"/>
    </w:rPr>
  </w:style>
  <w:style w:type="paragraph" w:customStyle="1" w:styleId="10">
    <w:name w:val="标题 #1"/>
    <w:basedOn w:val="Normal"/>
    <w:link w:val="1"/>
    <w:pPr>
      <w:widowControl w:val="0"/>
      <w:shd w:val="clear" w:color="auto" w:fill="auto"/>
      <w:spacing w:before="140" w:after="100"/>
      <w:ind w:left="3980"/>
      <w:outlineLvl w:val="0"/>
    </w:pPr>
    <w:rPr>
      <w:rFonts w:ascii="SimSun" w:eastAsia="SimSun" w:hAnsi="SimSun" w:cs="SimSun"/>
      <w:b w:val="0"/>
      <w:bCs w:val="0"/>
      <w:i w:val="0"/>
      <w:iCs w:val="0"/>
      <w:smallCaps w:val="0"/>
      <w:strike w:val="0"/>
      <w:sz w:val="52"/>
      <w:szCs w:val="52"/>
      <w:u w:val="none"/>
      <w:shd w:val="clear" w:color="auto" w:fill="auto"/>
    </w:rPr>
  </w:style>
  <w:style w:type="paragraph" w:customStyle="1" w:styleId="a1">
    <w:name w:val="正文文本"/>
    <w:basedOn w:val="Normal"/>
    <w:link w:val="a"/>
    <w:pPr>
      <w:widowControl w:val="0"/>
      <w:shd w:val="clear" w:color="auto" w:fill="auto"/>
      <w:spacing w:line="360" w:lineRule="auto"/>
      <w:ind w:firstLine="400"/>
    </w:pPr>
    <w:rPr>
      <w:rFonts w:ascii="SimSun" w:eastAsia="SimSun" w:hAnsi="SimSun" w:cs="SimSun"/>
      <w:b w:val="0"/>
      <w:bCs w:val="0"/>
      <w:i w:val="0"/>
      <w:iCs w:val="0"/>
      <w:smallCaps w:val="0"/>
      <w:strike w:val="0"/>
      <w:u w:val="none"/>
      <w:shd w:val="clear" w:color="auto" w:fill="auto"/>
    </w:rPr>
  </w:style>
  <w:style w:type="paragraph" w:customStyle="1" w:styleId="a2">
    <w:name w:val="其他"/>
    <w:basedOn w:val="Normal"/>
    <w:link w:val="a0"/>
    <w:pPr>
      <w:widowControl w:val="0"/>
      <w:shd w:val="clear" w:color="auto" w:fill="auto"/>
      <w:spacing w:line="360" w:lineRule="auto"/>
      <w:ind w:firstLine="400"/>
    </w:pPr>
    <w:rPr>
      <w:rFonts w:ascii="SimSun" w:eastAsia="SimSun" w:hAnsi="SimSun" w:cs="SimSun"/>
      <w:b w:val="0"/>
      <w:bCs w:val="0"/>
      <w:i w:val="0"/>
      <w:iCs w:val="0"/>
      <w:smallCaps w:val="0"/>
      <w:strike w:val="0"/>
      <w:u w:val="none"/>
      <w:shd w:val="clear" w:color="auto" w:fill="auto"/>
    </w:rPr>
  </w:style>
  <w:style w:type="paragraph" w:customStyle="1" w:styleId="20">
    <w:name w:val="其他 (2)"/>
    <w:basedOn w:val="Normal"/>
    <w:link w:val="2"/>
    <w:pPr>
      <w:widowControl w:val="0"/>
      <w:shd w:val="clear" w:color="auto" w:fill="auto"/>
    </w:pPr>
    <w:rPr>
      <w:rFonts w:ascii="SimSun" w:eastAsia="SimSun" w:hAnsi="SimSun" w:cs="SimSun"/>
      <w:b w:val="0"/>
      <w:bCs w:val="0"/>
      <w:i w:val="0"/>
      <w:iCs w:val="0"/>
      <w:smallCaps w:val="0"/>
      <w:strike w:val="0"/>
      <w:sz w:val="20"/>
      <w:szCs w:val="20"/>
      <w:u w:val="none"/>
      <w:shd w:val="clear" w:color="auto" w:fil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