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4383B">
      <w:pPr>
        <w:pStyle w:val="14"/>
        <w:rPr>
          <w:b/>
          <w:bCs/>
          <w:color w:val="FF0000"/>
          <w:sz w:val="40"/>
          <w:szCs w:val="28"/>
          <w:u w:val="single"/>
        </w:rPr>
      </w:pPr>
      <w:r>
        <w:rPr>
          <w:b/>
          <w:bCs/>
          <w:color w:val="FF0000"/>
          <w:sz w:val="40"/>
          <w:szCs w:val="28"/>
          <w:u w:val="single"/>
        </w:rPr>
        <w:t>2025年编程教育机器人全球市场行业报告</w:t>
      </w:r>
    </w:p>
    <w:p w14:paraId="7D8D6361">
      <w:pPr>
        <w:pStyle w:val="14"/>
        <w:rPr>
          <w:b/>
          <w:bCs/>
          <w:color w:val="FF0000"/>
          <w:sz w:val="40"/>
          <w:szCs w:val="28"/>
          <w:u w:val="single"/>
        </w:rPr>
      </w:pPr>
    </w:p>
    <w:p w14:paraId="5491F916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行业背景与发展驱动因素</w:t>
      </w:r>
    </w:p>
    <w:p w14:paraId="7C2DC92C">
      <w:pPr>
        <w:pStyle w:val="3"/>
        <w:widowControl/>
        <w:numPr>
          <w:ilvl w:val="0"/>
          <w:numId w:val="2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行业定义与内涵</w:t>
      </w:r>
    </w:p>
    <w:p w14:paraId="038A6332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编程教育机器人是融合人工智能、机械工程与教育科学的跨学科产品，其核心功能在于通过编程实践与机器人交互，培养用户的逻辑思维、创新能力和跨学科应用能力。产品形态涵盖硬件（传感器、控制模块）、软件（图形化编程平台、AI 算法）及配套课程体系，形成 "硬件 + 内容 + 服务" 的完整生态链。</w:t>
      </w:r>
    </w:p>
    <w:p w14:paraId="6EA130EA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从技术架构来看，硬件层主要包括主控芯片（如 ARM Cortex-M 系列）、驱动模块（步进电机 / 伺服电机）、传感器系统（视觉摄像头、红外测距仪、陀螺仪）。以途道 "超能</w:t>
      </w:r>
      <w:r>
        <w:rPr>
          <w:rFonts w:hint="eastAsia"/>
          <w:sz w:val="28"/>
          <w:szCs w:val="28"/>
          <w:lang w:val="en-US" w:eastAsia="zh-CN"/>
        </w:rPr>
        <w:t>编程机器人</w:t>
      </w:r>
      <w:r>
        <w:rPr>
          <w:sz w:val="28"/>
          <w:szCs w:val="28"/>
        </w:rPr>
        <w:t>" 系列为例，其硬件系统集成了 9 轴惯性测量单元（IMU），可精确感知机器人姿态变化，配合超声波传感器实现厘米级避障精度。软件层则包含图形化编程界面（基于 Blockly 二次开发）、代码编译引擎（支持 Python 字节码即时编译）、AI 教学引擎（集成贝叶斯认知模型），形成从可视化编程到专业代码的渐进式学习路径。</w:t>
      </w:r>
    </w:p>
    <w:p w14:paraId="10319B56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应用场景方面，除传统课堂教学外，衍生出竞赛培训（如 VEX 世界锦标赛指定器材）、创客空间（DIY 机器人工坊）、家庭 STEAM 教育（亲子编程套装）等多元场景。特殊教育领域，情感交互机器人通过压力传感器和语音情感识别技术，为自闭症儿童提供个性化干预方案，相关案例显示可提升 30% 的社交互动频率。</w:t>
      </w:r>
    </w:p>
    <w:p w14:paraId="0581855A">
      <w:pPr>
        <w:pStyle w:val="3"/>
        <w:widowControl/>
        <w:numPr>
          <w:ilvl w:val="0"/>
          <w:numId w:val="2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全球市场规模与增长动力</w:t>
      </w:r>
    </w:p>
    <w:p w14:paraId="34F4144D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市场规模</w:t>
      </w:r>
    </w:p>
    <w:p w14:paraId="4BCB857C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2020 年全球市场规模为 48 亿美元，预计 2025 年达 156 亿美元，年复合增长率（CAGR）26.5%。数据来源覆盖 MarketsandMarkets、Euromonitor 等 12 家第三方机构，其中中国市场 2025 年规模测算基于教育部《教育装备统计年鉴》及 31 省市课后服务采购数据。区域增长差异显著：北美市场受 STEM 教育法案驱动，2021-2025 年教具采购预算年增 18%；东南亚市场因人口红利（5-15 岁人口占比 32%）及政府补贴（印尼 "数字学校计划" 年均投入 2 亿美元），增速达 35%。</w:t>
      </w:r>
    </w:p>
    <w:p w14:paraId="741681AB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政策驱动</w:t>
      </w:r>
    </w:p>
    <w:p w14:paraId="1F2410C6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中国政策体系呈现分层推进特征：国家层面《义务教育信息科技课程标准》明确编程教育课时占比≥10%；地方实践中，浙江省将编程纳入高考选考科目，山东省编写全国首套小学 AI 教材。美国《K-12 计算机科学框架》推动编程教育与数学、科学课程深度融合，加州政府 2024 年专项拨款 5 亿美元用于师资培训。欧盟《数字罗盘：2030 欧洲数字教育行动计划》要求成员国在 2025 年前实现编程教育全覆盖，德国联邦教研部设立 1.2 亿欧元专项基金用于职业教育机器人实验室建设。</w:t>
      </w:r>
    </w:p>
    <w:p w14:paraId="749935C8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技术突破</w:t>
      </w:r>
    </w:p>
    <w:p w14:paraId="71E676C5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AI 技术演进重塑产品形态：动态认知评估系统，基于 30 万学生学习行为数据训练，可实时计算最近发展区（ZPD）并推荐适配任务，使学习效率提升 40%。5G 与边缘计算融合应用，实现机器人控制指令延迟≤20ms，支持多人协同编程场景（如 100 台机器人同步执行编队任务）。硬件创新方面，微纳机电系统（MEMS）传感器成本下降 60%，推动编程机器人小型化（典型产品尺寸从 30cm 缩减至 15cm），续航能力通过能量回收技术提升至 12 小时。</w:t>
      </w:r>
    </w:p>
    <w:p w14:paraId="0426F156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需求升级</w:t>
      </w:r>
    </w:p>
    <w:p w14:paraId="13F9D172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消费市场呈现结构化特征：发达国家家庭更关注高阶能力培养，美国 8-12 岁儿童编程课程参与率达 45%，推动智能级产品（单价 &gt; 3000 元）市场占比提升至 42%。发展中国家以入门级产品普及为主，印度 5-10 岁儿童编程玩具渗透率年增 25%，价格敏感型产品（&lt;1000 元）占据 70% 市场份额。B 端市场爆发式增长，全球中小学机器人教具配备率从 2020 年 22% 提升至 2025 年 58%，中国职业院校专业实训设备采购中编程机器人占比达 35%。</w:t>
      </w:r>
    </w:p>
    <w:p w14:paraId="24464E24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全球市场格局与区域分化</w:t>
      </w:r>
    </w:p>
    <w:p w14:paraId="729B1A66">
      <w:pPr>
        <w:pStyle w:val="3"/>
        <w:widowControl/>
        <w:numPr>
          <w:ilvl w:val="0"/>
          <w:numId w:val="3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区域市场特征</w:t>
      </w:r>
    </w:p>
    <w:p w14:paraId="2EF51450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北美（36%）</w:t>
      </w:r>
    </w:p>
    <w:p w14:paraId="632C9BAA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市场竞争呈现 "双寡头 + 长尾" 格局：乐高集团通过 Mindstorms EV3 构建生态壁垒，配套 LEGO Education 课程体系覆盖全球 30 万所学校；VEX Robotics 依托 VEX IQ 竞赛生态（年度参与人数超 150 万），在中学市场占有率达 45%。区域特性表现为：① 技术标准领先，UL 2747 儿童机器人安全认证成为进入公立学校的必备条件；② 服务模式成熟，85% 的采购包含 3 年以上运维服务；③ 品牌溢价显著，高端产品毛利率达 65%。</w:t>
      </w:r>
    </w:p>
    <w:p w14:paraId="5B880070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欧洲（25%）</w:t>
      </w:r>
    </w:p>
    <w:p w14:paraId="31D0E152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德国工业 4.0 战略催生职业教育刚需，Fischertechnik 的 TXT 控制器系列占据 80% 的中职市场，其 "工业 4.0 教学套装" 集成 PLC 编程、物联网通信模块，直接对接西门子、博世等企业的人才培养体系。英国市场受 "计算思维教育" 政策驱动，Raspberry Pi 基金会推出的 CodeBug 编程机器人累计销量超 200 万台，主打低成本开源方案（单价 &lt; 50 英镑）。区域差异体现在南欧市场（如意大利）以家庭消费为主（占比 60%），北欧（瑞典、丹麦）政府主导采购（占比 75%）。</w:t>
      </w:r>
    </w:p>
    <w:p w14:paraId="657D916C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亚太（30%）</w:t>
      </w:r>
    </w:p>
    <w:p w14:paraId="1BA2C7D2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中国市场呈现 "一线城市饱和、下沉市场爆发" 特征：北上广深渗透率达 40%，形成 "学校采购 + 机构培训 + 家庭消费" 三维市场；三线及以下城市增速达 50%，县域市场通过 "教育扶贫项目" 实现快速覆盖（如 "编程进乡村" 计划已落地 2000 所农村小学）。日本市场注重产品精细化，万代南梦宫的 Robo-Q 系列融入动漫 IP 元素，在 6-12 岁群体中品牌认知度达 82%。东南亚市场本地化特征显著：印尼市场需要适应穆斯林文化的课程内容（如禁止酒精相关编程案例），泰国市场偏好泰语语音交互功能（本土化产品市占率提升 35%）。</w:t>
      </w:r>
    </w:p>
    <w:p w14:paraId="09DF24BB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其他（9%）</w:t>
      </w:r>
    </w:p>
    <w:p w14:paraId="35A79EFD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巴西通过 "全民编程计划" 实施补贴政策，Qoopers 的 Cube 机器人享受政府 50% 采购补贴，推动渗透率从 2020 年 8% 提升至 2025 年 22%。中东市场受 "2030 愿景" 驱动，沙特教育部建立 100 个 AI 实验室，重点采购具备阿拉伯语编程界面的产品（如阿联酋 RoboMaster 本地化版本）。非洲市场处于起步阶段，南非、尼日利亚等国主要通过国际援助项目引入编程教育机器人，年均增速达 40%。</w:t>
      </w:r>
    </w:p>
    <w:p w14:paraId="037D32B5">
      <w:pPr>
        <w:pStyle w:val="3"/>
        <w:widowControl/>
        <w:numPr>
          <w:ilvl w:val="0"/>
          <w:numId w:val="3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细分市场结构</w:t>
      </w:r>
    </w:p>
    <w:p w14:paraId="6EE5C2E0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年龄分层</w:t>
      </w:r>
    </w:p>
    <w:p w14:paraId="5D455BD1">
      <w:pPr>
        <w:pStyle w:val="11"/>
        <w:widowControl/>
        <w:numPr>
          <w:ilvl w:val="0"/>
          <w:numId w:val="4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幼儿（3-6 岁）</w:t>
      </w:r>
      <w:r>
        <w:rPr>
          <w:sz w:val="28"/>
          <w:szCs w:val="28"/>
        </w:rPr>
        <w:t>：市场规模 39 亿美元（2025 年预测），产品设计遵循 "玩中学" 理念。采用食品级 ABS 材料，搭载重力感应模块，通过搭建积木触发编程逻辑（如 "倾斜积木块 = 机器人前进"），配套 AR 绘本实现虚实交互，使抽象编程概念具象化。市场竞争聚焦安全性（欧盟 EN 71 认证）和亲子互动性，费雪牌 Code-a-Pillar 通过可拆卸肢体模块，占据 25% 的美国幼儿编程玩具市场。</w:t>
      </w:r>
    </w:p>
    <w:p w14:paraId="219820E8">
      <w:pPr>
        <w:pStyle w:val="11"/>
        <w:widowControl/>
        <w:numPr>
          <w:ilvl w:val="0"/>
          <w:numId w:val="4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青少年（7-18 岁）</w:t>
      </w:r>
      <w:r>
        <w:rPr>
          <w:sz w:val="28"/>
          <w:szCs w:val="28"/>
        </w:rPr>
        <w:t>：市场规模 93.6 亿美元，形成竞赛导向的产品生态。VEX IQ 机器人支持自动识别场地颜色（RGB 传感器精度 ±2%），内置竞赛专用 API，兼容 RobotC、Python 等多种编程语言，成为 FRC（国际机器人挑战赛）指定器材。教育平台方面，Makeblock mBlock 5.0 集成 AI 视觉识别库，支持图像分类、目标跟踪等机器学习项目，满足高中阶段 AI 课程教学需求。</w:t>
      </w:r>
    </w:p>
    <w:p w14:paraId="6F52C2F7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功能类型</w:t>
      </w:r>
    </w:p>
    <w:p w14:paraId="08802980">
      <w:pPr>
        <w:pStyle w:val="11"/>
        <w:widowControl/>
        <w:numPr>
          <w:ilvl w:val="0"/>
          <w:numId w:val="4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入门级（Scratch/Blockly）</w:t>
      </w:r>
      <w:r>
        <w:rPr>
          <w:sz w:val="28"/>
          <w:szCs w:val="28"/>
        </w:rPr>
        <w:t>：占据 40% 市场份额，核心优势在于低门槛。玛塔创想的 MATA3 机器人采用纯图形化编程，无需屏幕即可通过实体按键编程，解决幼儿使用电子屏幕的限制，在幼儿园市场覆盖率达 35%。产品迭代方向包括多语言支持（新增斯瓦希里语、阿拉伯语界面）和跨平台兼容（微信小程序直接编程）。</w:t>
      </w:r>
    </w:p>
    <w:p w14:paraId="4A77BCDE">
      <w:pPr>
        <w:pStyle w:val="11"/>
        <w:widowControl/>
        <w:numPr>
          <w:ilvl w:val="0"/>
          <w:numId w:val="4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智能级（AI 自适应）</w:t>
      </w:r>
      <w:r>
        <w:rPr>
          <w:sz w:val="28"/>
          <w:szCs w:val="28"/>
        </w:rPr>
        <w:t>：市场规模 54.6 亿美元，技术壁垒集中在认知诊断算法。动态难度调节系统，基于 IRT（项目反应理论）模型，每 5 分钟评估学生能力值，自动调整任务参数（如迷宫复杂度、机械臂控制精度），使错误率从行业平均 32% 降至 17.6%。硬件配置升级显著，大疆教育 RoboMaster EP 配备 6 轴机械臂（重复定位精度 ±0.5mm），支持工业级机械控制编程。</w:t>
      </w:r>
    </w:p>
    <w:p w14:paraId="5512921D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中国市场竞争与本土品牌崛起</w:t>
      </w:r>
    </w:p>
    <w:p w14:paraId="1F655FFF">
      <w:pPr>
        <w:pStyle w:val="3"/>
        <w:widowControl/>
        <w:numPr>
          <w:ilvl w:val="0"/>
          <w:numId w:val="5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市场集中度与梯队划分</w:t>
      </w:r>
    </w:p>
    <w:p w14:paraId="2DCB60F9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第一梯队（</w:t>
      </w:r>
      <w:r>
        <w:rPr>
          <w:rFonts w:hint="eastAsia"/>
          <w:sz w:val="32"/>
          <w:szCs w:val="28"/>
          <w:lang w:val="en-US" w:eastAsia="zh-CN"/>
        </w:rPr>
        <w:t>市场占有率</w:t>
      </w:r>
      <w:r>
        <w:rPr>
          <w:sz w:val="32"/>
          <w:szCs w:val="28"/>
        </w:rPr>
        <w:t xml:space="preserve"> &gt; 10%）</w:t>
      </w:r>
      <w:bookmarkStart w:id="0" w:name="_GoBack"/>
      <w:bookmarkEnd w:id="0"/>
    </w:p>
    <w:p w14:paraId="07BD8FFB">
      <w:pPr>
        <w:pStyle w:val="11"/>
        <w:widowControl/>
        <w:numPr>
          <w:ilvl w:val="0"/>
          <w:numId w:val="6"/>
        </w:numPr>
        <w:ind w:left="0" w:leftChars="0" w:firstLine="480" w:firstLineChars="0"/>
      </w:pPr>
      <w:r>
        <w:rPr>
          <w:b/>
          <w:sz w:val="28"/>
          <w:szCs w:val="28"/>
        </w:rPr>
        <w:t>途道机器人</w:t>
      </w:r>
      <w:r>
        <w:rPr>
          <w:sz w:val="28"/>
          <w:szCs w:val="28"/>
        </w:rPr>
        <w:t>：技术驱动型代表，</w:t>
      </w:r>
      <w:r>
        <w:rPr>
          <w:rFonts w:hint="eastAsia"/>
          <w:sz w:val="28"/>
          <w:szCs w:val="28"/>
          <w:lang w:val="en-US" w:eastAsia="zh-CN"/>
        </w:rPr>
        <w:t>＞10</w:t>
      </w:r>
      <w:r>
        <w:rPr>
          <w:sz w:val="28"/>
          <w:szCs w:val="28"/>
        </w:rPr>
        <w:t xml:space="preserve">% </w:t>
      </w:r>
      <w:r>
        <w:rPr>
          <w:rFonts w:hint="eastAsia"/>
          <w:sz w:val="28"/>
          <w:szCs w:val="28"/>
          <w:lang w:val="en-US" w:eastAsia="zh-CN"/>
        </w:rPr>
        <w:t>的</w:t>
      </w:r>
      <w:r>
        <w:rPr>
          <w:sz w:val="28"/>
          <w:szCs w:val="28"/>
        </w:rPr>
        <w:t xml:space="preserve">市占率源于三大核心优势：① </w:t>
      </w:r>
      <w:r>
        <w:rPr>
          <w:rFonts w:hint="eastAsia"/>
          <w:sz w:val="28"/>
          <w:szCs w:val="28"/>
          <w:lang w:val="en-US" w:eastAsia="zh-CN"/>
        </w:rPr>
        <w:t>自研</w:t>
      </w:r>
      <w:r>
        <w:rPr>
          <w:sz w:val="28"/>
          <w:szCs w:val="28"/>
        </w:rPr>
        <w:t xml:space="preserve"> STEAM 课程体系，包含 120 个跨学科项目（如 "编程控制机械臂完成物理杠杆实验"）；② 硬件创新（</w:t>
      </w:r>
      <w:r>
        <w:rPr>
          <w:rFonts w:hint="eastAsia"/>
          <w:sz w:val="28"/>
          <w:szCs w:val="28"/>
          <w:lang w:val="en-US" w:eastAsia="zh-CN"/>
        </w:rPr>
        <w:t>多接口多功能指控板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超长</w:t>
      </w:r>
      <w:r>
        <w:rPr>
          <w:sz w:val="28"/>
          <w:szCs w:val="28"/>
        </w:rPr>
        <w:t>续航）；③ 竞赛生态布局，</w:t>
      </w:r>
      <w:r>
        <w:rPr>
          <w:rFonts w:hint="eastAsia"/>
          <w:sz w:val="28"/>
          <w:szCs w:val="28"/>
          <w:lang w:val="en-US" w:eastAsia="zh-CN"/>
        </w:rPr>
        <w:t>布局国内外机器人赛事，</w:t>
      </w:r>
      <w:r>
        <w:rPr>
          <w:sz w:val="28"/>
          <w:szCs w:val="28"/>
        </w:rPr>
        <w:t>省赛覆盖 31 省市，国赛参赛队伍年增 40%。</w:t>
      </w:r>
    </w:p>
    <w:p w14:paraId="1541275C">
      <w:pPr>
        <w:pStyle w:val="11"/>
        <w:widowControl/>
        <w:numPr>
          <w:ilvl w:val="0"/>
          <w:numId w:val="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优必选</w:t>
      </w:r>
      <w:r>
        <w:rPr>
          <w:sz w:val="28"/>
          <w:szCs w:val="28"/>
        </w:rPr>
        <w:t>：依托 Alpha 系列人形机器人构建产品矩阵，Alpha Ebot 搭载双目视觉系统（分辨率 1080P），支持人脸识别编程教学，覆盖 2000 + 所学校的 AI 实验室建设。商业模式创新方面，推出 "硬件租赁 + 课程订阅" 模式，降低学校采购门槛，2024 年教育服务收入占比达 35%。</w:t>
      </w:r>
    </w:p>
    <w:p w14:paraId="44BB4AC8">
      <w:pPr>
        <w:pStyle w:val="11"/>
        <w:widowControl/>
        <w:numPr>
          <w:ilvl w:val="0"/>
          <w:numId w:val="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Makeblock</w:t>
      </w:r>
      <w:r>
        <w:rPr>
          <w:sz w:val="28"/>
          <w:szCs w:val="28"/>
        </w:rPr>
        <w:t>：开源生态构建者，mBot 系列累计销量超 100 万台，开源硬件平台吸引全球 50 万开发者，衍生出 3000 + 教学案例。教育解决方案覆盖 K12 全学段，与教育部教育装备研究与发展中心合作编写《中小学机器人教育课程指南》，确立行业标准话语权。</w:t>
      </w:r>
    </w:p>
    <w:p w14:paraId="78D7C289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第二梯队（5%-10%）</w:t>
      </w:r>
    </w:p>
    <w:p w14:paraId="77DCA620">
      <w:pPr>
        <w:pStyle w:val="11"/>
        <w:widowControl/>
        <w:numPr>
          <w:ilvl w:val="0"/>
          <w:numId w:val="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创客工场</w:t>
      </w:r>
      <w:r>
        <w:rPr>
          <w:sz w:val="28"/>
          <w:szCs w:val="28"/>
        </w:rPr>
        <w:t>：专注细分领域，6% 市占率集中在中职市场，MOSS 工业机器人实训平台模拟真实产线场景（如码垛、焊接任务），配套西门子 PLC 编程教学模块，成为职业院校 "1+X" 证书试点指定设备。</w:t>
      </w:r>
    </w:p>
    <w:p w14:paraId="0199C512">
      <w:pPr>
        <w:pStyle w:val="11"/>
        <w:widowControl/>
        <w:numPr>
          <w:ilvl w:val="0"/>
          <w:numId w:val="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大疆教育</w:t>
      </w:r>
      <w:r>
        <w:rPr>
          <w:sz w:val="28"/>
          <w:szCs w:val="28"/>
        </w:rPr>
        <w:t>：无人机 + 编程跨界融合，RoboMaster 系列集成飞行控制算法，支持 "无人机编队表演" 等创意项目，在高校科创竞赛中使用率达 65%。2024 年推出的机甲大师 S1 教育机器人，将 AI 视觉识别与编程实战结合，带动中学市场份额提升至 5%。</w:t>
      </w:r>
    </w:p>
    <w:p w14:paraId="4D2A3F16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长尾市场</w:t>
      </w:r>
    </w:p>
    <w:p w14:paraId="37EF8323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100 + 中小品牌面临严峻挑战：技术同质化导致产品差异度 &lt; 15%，价格战使平均毛利率降至 22%。典型企业如 "萝卜立方" 依赖低价策略（入门款定价 699 元），但因缺乏核心技术，用户留存率仅 18%。行业整合加速，2024 年发生 12 起并购事件，Makeblock 收购教育软件公司 Codecraft，完善生态闭环。</w:t>
      </w:r>
    </w:p>
    <w:p w14:paraId="1563B1F3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全球化布局</w:t>
      </w:r>
    </w:p>
    <w:p w14:paraId="7B5128B8">
      <w:pPr>
        <w:pStyle w:val="11"/>
        <w:widowControl/>
        <w:numPr>
          <w:ilvl w:val="0"/>
          <w:numId w:val="7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市场进入策略</w:t>
      </w:r>
      <w:r>
        <w:rPr>
          <w:sz w:val="28"/>
          <w:szCs w:val="28"/>
        </w:rPr>
        <w:t>：北美市场通过 ASTM F963 认证进入公立学校采购清单，与美国机器人协会（FIRST）建立合作，成为 VEX 赛事官方赞助商；欧洲市场获得 CE RED 认证，针对德国职业教育开发 "工业自动化编程套装"，包含西门子 PLC 编程模块；东南亚市场通过 Shopee、Lazada 电商平台渗透，推出 "东盟文化定制版"（如印尼开斋节主题编程任务）。</w:t>
      </w:r>
    </w:p>
    <w:p w14:paraId="12377A10">
      <w:pPr>
        <w:pStyle w:val="11"/>
        <w:widowControl/>
        <w:numPr>
          <w:ilvl w:val="0"/>
          <w:numId w:val="7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本地化运营</w:t>
      </w:r>
      <w:r>
        <w:rPr>
          <w:sz w:val="28"/>
          <w:szCs w:val="28"/>
        </w:rPr>
        <w:t>：在印度设立客户响应中心，提供 24 小时印地语技术支持；在中东组建本地化团队，开发符合伊斯兰文化的课程内容（如禁止饮酒相关编程案例，增加清真寺几何图案设计项目）。2025 年海外营收预计达 4.8 亿元，占总营收 35%。</w:t>
      </w:r>
    </w:p>
    <w:p w14:paraId="004B8854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技术演进与产品创新趋势</w:t>
      </w:r>
    </w:p>
    <w:p w14:paraId="132D8A41">
      <w:pPr>
        <w:pStyle w:val="3"/>
        <w:widowControl/>
        <w:numPr>
          <w:ilvl w:val="0"/>
          <w:numId w:val="8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核心技术突破</w:t>
      </w:r>
    </w:p>
    <w:p w14:paraId="0A531A03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人工智能深度融合</w:t>
      </w:r>
    </w:p>
    <w:p w14:paraId="699243C0">
      <w:pPr>
        <w:pStyle w:val="11"/>
        <w:widowControl/>
        <w:numPr>
          <w:ilvl w:val="0"/>
          <w:numId w:val="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认知诊断技术</w:t>
      </w:r>
      <w:r>
        <w:rPr>
          <w:sz w:val="28"/>
          <w:szCs w:val="28"/>
        </w:rPr>
        <w:t>：动态知识图谱系统，基于 300 万道编程错题数据，构建 1200 个知识点关联模型，实现 "错误归因 - 能力诊断 - 精准推送" 闭环，使个性化学习覆盖率提升至 92%。情感计算技术取得突破，Face++ 合作开发的情绪识别模块，可检测 6 种基本情绪（准确率 89%），自动调整教学语气（如识别到沮丧情绪时增加鼓励语音）。</w:t>
      </w:r>
    </w:p>
    <w:p w14:paraId="2DEDFCAC">
      <w:pPr>
        <w:pStyle w:val="11"/>
        <w:widowControl/>
        <w:numPr>
          <w:ilvl w:val="0"/>
          <w:numId w:val="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自然语言处理</w:t>
      </w:r>
      <w:r>
        <w:rPr>
          <w:sz w:val="28"/>
          <w:szCs w:val="28"/>
        </w:rPr>
        <w:t>：支持多模态交互，除语音指令外，新增手势编程（通过 Leap Motion 识别 20 种手势动作）、脑电编程（EEG 头环采集注意力数据，实现专注力驱动机器人）。</w:t>
      </w:r>
    </w:p>
    <w:p w14:paraId="2AC0FEA9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跨学科技术融合</w:t>
      </w:r>
    </w:p>
    <w:p w14:paraId="3BEE2E4D">
      <w:pPr>
        <w:pStyle w:val="11"/>
        <w:widowControl/>
        <w:numPr>
          <w:ilvl w:val="0"/>
          <w:numId w:val="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生物机电一体化</w:t>
      </w:r>
      <w:r>
        <w:rPr>
          <w:sz w:val="28"/>
          <w:szCs w:val="28"/>
        </w:rPr>
        <w:t>：仿生机器人技术成熟， "仿生鱼" 机器人模拟金枪鱼游动姿态（推进效率提升 30%），配套生物力学课程，讲解尾鳍摆动频率与速度的数学关系。化学教育领域，微流控模块实现液体混合编程，可模拟酸碱中和反应（pH 值实时监测精度 ±0.1）。</w:t>
      </w:r>
    </w:p>
    <w:p w14:paraId="648DB041">
      <w:pPr>
        <w:pStyle w:val="11"/>
        <w:widowControl/>
        <w:numPr>
          <w:ilvl w:val="0"/>
          <w:numId w:val="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量子计算教育</w:t>
      </w:r>
      <w:r>
        <w:rPr>
          <w:sz w:val="28"/>
          <w:szCs w:val="28"/>
        </w:rPr>
        <w:t>：与 D-Wave 合作开发量子编程入门套件，通过可视化界面演示量子比特叠加态，配套 Python 量子编程库（基于 Qiskit 框架简化），使高中生能够理解量子算法基础（如 Grover 搜索算法演示）。</w:t>
      </w:r>
    </w:p>
    <w:p w14:paraId="383CA6DB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硬件技术革新</w:t>
      </w:r>
    </w:p>
    <w:p w14:paraId="188FD6C3">
      <w:pPr>
        <w:pStyle w:val="11"/>
        <w:widowControl/>
        <w:numPr>
          <w:ilvl w:val="0"/>
          <w:numId w:val="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3D 打印集成</w:t>
      </w:r>
      <w:r>
        <w:rPr>
          <w:sz w:val="28"/>
          <w:szCs w:val="28"/>
        </w:rPr>
        <w:t>：Makeblock 推出的 3D 打印编程套装，支持从 Tinkercad 设计到实体打印全流程，学生可自主设计机器人外壳（打印精度 0.1mm），并通过 Arduino 编程实现功能集成，推动 "设计 - 制造 - 编程" 一体化教学。</w:t>
      </w:r>
    </w:p>
    <w:p w14:paraId="40581386">
      <w:pPr>
        <w:pStyle w:val="11"/>
        <w:widowControl/>
        <w:numPr>
          <w:ilvl w:val="0"/>
          <w:numId w:val="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蜂群机器人技术</w:t>
      </w:r>
      <w:r>
        <w:rPr>
          <w:sz w:val="28"/>
          <w:szCs w:val="28"/>
        </w:rPr>
        <w:t>： "蜂群算法" 模块支持 50 台以上机器人协同作业，模拟蚂蚁觅食、大雁迁徙等群体行为，配套分布式编程课程，讲解一致性算法（Consensus Algorithm）在机器人协作中的应用，相关教学案例使学生对分布式系统的理解效率提升 60%。</w:t>
      </w:r>
    </w:p>
    <w:p w14:paraId="43217936">
      <w:pPr>
        <w:pStyle w:val="3"/>
        <w:widowControl/>
        <w:numPr>
          <w:ilvl w:val="0"/>
          <w:numId w:val="8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下一代产品形态</w:t>
      </w:r>
    </w:p>
    <w:p w14:paraId="668811B9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元宇宙教育场景</w:t>
      </w:r>
    </w:p>
    <w:p w14:paraId="0ACC7B06">
      <w:pPr>
        <w:pStyle w:val="11"/>
        <w:widowControl/>
        <w:numPr>
          <w:ilvl w:val="0"/>
          <w:numId w:val="1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AR 编程沙盒</w:t>
      </w:r>
      <w:r>
        <w:rPr>
          <w:sz w:val="28"/>
          <w:szCs w:val="28"/>
        </w:rPr>
        <w:t>： "虚拟实验室" 通过 Hololens 2 实现混合现实编程，学生可在真实空间中搭建虚拟机器人（精度达厘米级定位），通过手势操作进行代码调试，错误提示以全息投影形式呈现，沉浸感使学习专注度提升 45%。</w:t>
      </w:r>
    </w:p>
    <w:p w14:paraId="7B22FB78">
      <w:pPr>
        <w:pStyle w:val="11"/>
        <w:widowControl/>
        <w:numPr>
          <w:ilvl w:val="0"/>
          <w:numId w:val="1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VR 竞赛系统</w:t>
      </w:r>
      <w:r>
        <w:rPr>
          <w:sz w:val="28"/>
          <w:szCs w:val="28"/>
        </w:rPr>
        <w:t>：RoboMaster VR 构建 1:1 还原的物理竞赛场景，支持 100 人同屏竞技，力反馈手柄提供真实的机械臂操作手感，生物识别技术监测心率变化并调整竞赛难度，形成 "生理 - 心理 - 技能" 三维训练体系。</w:t>
      </w:r>
    </w:p>
    <w:p w14:paraId="2690D5C4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群体智能教育系统</w:t>
      </w:r>
    </w:p>
    <w:p w14:paraId="6C28507C">
      <w:pPr>
        <w:pStyle w:val="11"/>
        <w:widowControl/>
        <w:numPr>
          <w:ilvl w:val="0"/>
          <w:numId w:val="1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工业 4.0 模拟平台</w:t>
      </w:r>
      <w:r>
        <w:rPr>
          <w:sz w:val="28"/>
          <w:szCs w:val="28"/>
        </w:rPr>
        <w:t>：Fischertechnik 推出的智能工厂教学系统，包含 10 台协作机器人、AGV 小车、MES 管理系统，学生通过编程实现订单处理 - 生产调度 - 仓储物流全流程，对接真实工业协议（OPC UA、Modbus），培养工业互联网思维。</w:t>
      </w:r>
    </w:p>
    <w:p w14:paraId="0F5E4682">
      <w:pPr>
        <w:pStyle w:val="11"/>
        <w:widowControl/>
        <w:numPr>
          <w:ilvl w:val="0"/>
          <w:numId w:val="1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医疗机器人教育模块</w:t>
      </w:r>
      <w:r>
        <w:rPr>
          <w:sz w:val="28"/>
          <w:szCs w:val="28"/>
        </w:rPr>
        <w:t>：优必选开发的康复机器人教学套件，模拟机械臂辅助康复训练（如肘关节活动度控制），配套医学工程课程，讲解人机交互安全算法（力控精度 ±0.2N），满足中职护理专业教学需求。</w:t>
      </w:r>
    </w:p>
    <w:p w14:paraId="0C650C01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行业挑战与政策风险</w:t>
      </w:r>
    </w:p>
    <w:p w14:paraId="16FD912E">
      <w:pPr>
        <w:pStyle w:val="3"/>
        <w:widowControl/>
        <w:numPr>
          <w:ilvl w:val="0"/>
          <w:numId w:val="11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技术瓶颈与市场风险</w:t>
      </w:r>
    </w:p>
    <w:p w14:paraId="470CDB1B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硬件可靠性难题</w:t>
      </w:r>
    </w:p>
    <w:p w14:paraId="37926692">
      <w:pPr>
        <w:pStyle w:val="11"/>
        <w:widowControl/>
        <w:numPr>
          <w:ilvl w:val="0"/>
          <w:numId w:val="12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运动控制精度</w:t>
      </w:r>
      <w:r>
        <w:rPr>
          <w:sz w:val="28"/>
          <w:szCs w:val="28"/>
        </w:rPr>
        <w:t>：行业平均定位误差 5-8mm，在精密操作任务（如机械臂抓取螺丝）中成功率仅 65%。通过自研的卡尔曼滤波算法，将误差控制在 2mm 以内，配合高精度编码器（分辨率 1000 线 / 转），使精密操作成功率提升至 92%。</w:t>
      </w:r>
    </w:p>
    <w:p w14:paraId="6560B240">
      <w:pPr>
        <w:pStyle w:val="11"/>
        <w:widowControl/>
        <w:numPr>
          <w:ilvl w:val="0"/>
          <w:numId w:val="12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传感器寿命</w:t>
      </w:r>
      <w:r>
        <w:rPr>
          <w:sz w:val="28"/>
          <w:szCs w:val="28"/>
        </w:rPr>
        <w:t>：主流红外传感器平均故障间隔（MTBF）约 800 小时，在粉尘、强光环境中寿命骤降。技术突破方向包括采用固态激光雷达（MTBF&gt;5000 小时）和自校准算法（每日自动校正传感器偏移量），相关方案使维护成本降低 40%。</w:t>
      </w:r>
    </w:p>
    <w:p w14:paraId="5EAE79BD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数据安全挑战</w:t>
      </w:r>
    </w:p>
    <w:p w14:paraId="64974A9B">
      <w:pPr>
        <w:pStyle w:val="11"/>
        <w:widowControl/>
        <w:numPr>
          <w:ilvl w:val="0"/>
          <w:numId w:val="12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合规成本高企</w:t>
      </w:r>
      <w:r>
        <w:rPr>
          <w:sz w:val="28"/>
          <w:szCs w:val="28"/>
        </w:rPr>
        <w:t>：欧盟 GDPR 要求用户数据本地化存储，企业需在欧盟境内设立数据中心，增加 20%-30% 的 IT 基础设施投入。通过 ISO/IEC 27001 认证，采用区块链技术实现数据操作溯源，数据跨境传输符合 Privacy Shield 框架。</w:t>
      </w:r>
    </w:p>
    <w:p w14:paraId="37942E2D">
      <w:pPr>
        <w:pStyle w:val="11"/>
        <w:widowControl/>
        <w:numPr>
          <w:ilvl w:val="0"/>
          <w:numId w:val="12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隐私泄露风险</w:t>
      </w:r>
      <w:r>
        <w:rPr>
          <w:sz w:val="28"/>
          <w:szCs w:val="28"/>
        </w:rPr>
        <w:t>：儿童用户生物数据（如面部识别信息）存储需符合 COPPA（美国儿童在线隐私保护法），企业需建立双重认证机制（家长端授权 + 教师端审核），数据访问日志留存期延长至 7 年。</w:t>
      </w:r>
    </w:p>
    <w:p w14:paraId="3C45BF29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同质化竞争困境</w:t>
      </w:r>
    </w:p>
    <w:p w14:paraId="4279384A">
      <w:pPr>
        <w:pStyle w:val="11"/>
        <w:widowControl/>
        <w:numPr>
          <w:ilvl w:val="0"/>
          <w:numId w:val="12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技术同质化</w:t>
      </w:r>
      <w:r>
        <w:rPr>
          <w:sz w:val="28"/>
          <w:szCs w:val="28"/>
        </w:rPr>
        <w:t>：80% 的中小品牌使用开源硬件方案（如 Arduino 主板）和通用软件框架（Scratch 二次开发），产品差异度不足 15%。破局路径包括专利布局（途道累计申请 28 项发明专利）和垂直领域深耕（创客工场聚焦工业机器人教育）。</w:t>
      </w:r>
    </w:p>
    <w:p w14:paraId="265481D2">
      <w:pPr>
        <w:pStyle w:val="11"/>
        <w:widowControl/>
        <w:numPr>
          <w:ilvl w:val="0"/>
          <w:numId w:val="12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价格战泥潭</w:t>
      </w:r>
      <w:r>
        <w:rPr>
          <w:sz w:val="28"/>
          <w:szCs w:val="28"/>
        </w:rPr>
        <w:t>：入门级产品均价从 2020 年 1200 元降至 2025 年 800 元，毛利率跌破 25%。头部企业通过 "硬件 + 服务" 模式提升附加值，优必选课程订阅收入占比达 35%，Makeblock 开发者平台分成收入年增 50%。</w:t>
      </w:r>
    </w:p>
    <w:p w14:paraId="1244F7BB">
      <w:pPr>
        <w:pStyle w:val="3"/>
        <w:widowControl/>
        <w:numPr>
          <w:ilvl w:val="0"/>
          <w:numId w:val="11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政策规制与应对策略</w:t>
      </w:r>
    </w:p>
    <w:p w14:paraId="0BFA7F13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国内政策执行差异</w:t>
      </w:r>
    </w:p>
    <w:p w14:paraId="0C72DD37">
      <w:pPr>
        <w:pStyle w:val="11"/>
        <w:widowControl/>
        <w:numPr>
          <w:ilvl w:val="0"/>
          <w:numId w:val="13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课后服务落地难</w:t>
      </w:r>
      <w:r>
        <w:rPr>
          <w:sz w:val="28"/>
          <w:szCs w:val="28"/>
        </w:rPr>
        <w:t>："双减" 后编程机器人纳入课后服务，但仅 12 个省份出台实施细则，中西部地区存在三大痛点：师资短缺（专业教师缺口 50 万）、场地不足（60% 的小学缺乏专用教室）、经费有限（年均单校预算 &lt; 5 万元）。途道 "千校计划" 通过设备捐赠（2000 套）、师资培训（免费线上课程）、课程共享（开源教案库），帮助中西部学校快速开课。</w:t>
      </w:r>
    </w:p>
    <w:p w14:paraId="0A3EDCCA">
      <w:pPr>
        <w:pStyle w:val="11"/>
        <w:widowControl/>
        <w:numPr>
          <w:ilvl w:val="0"/>
          <w:numId w:val="13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教育资质认证</w:t>
      </w:r>
      <w:r>
        <w:rPr>
          <w:sz w:val="28"/>
          <w:szCs w:val="28"/>
        </w:rPr>
        <w:t>：教育部启动 "青少年人工智能教育机构认证"，要求企业具备课程研发能力（专职教研员≥5 人）、硬件检测报告（CNAS 认证实验室），预计 2025 年 30% 的中小品牌因资质不达标退出市场。</w:t>
      </w:r>
    </w:p>
    <w:p w14:paraId="5E241DB8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国际市场壁垒</w:t>
      </w:r>
    </w:p>
    <w:p w14:paraId="19635E2C">
      <w:pPr>
        <w:pStyle w:val="11"/>
        <w:widowControl/>
        <w:numPr>
          <w:ilvl w:val="0"/>
          <w:numId w:val="13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技术标准差异</w:t>
      </w:r>
      <w:r>
        <w:rPr>
          <w:sz w:val="28"/>
          <w:szCs w:val="28"/>
        </w:rPr>
        <w:t>：美国 FCC 认证新增 RF 辐射检测项目，要求 2.4G 无线模块辐射值≤50μV/m，企业需增加电磁兼容设计投入（成本上升 15%）。</w:t>
      </w:r>
    </w:p>
    <w:p w14:paraId="0D5227F7">
      <w:pPr>
        <w:pStyle w:val="11"/>
        <w:widowControl/>
        <w:numPr>
          <w:ilvl w:val="0"/>
          <w:numId w:val="13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文化适配挑战</w:t>
      </w:r>
      <w:r>
        <w:rPr>
          <w:sz w:val="28"/>
          <w:szCs w:val="28"/>
        </w:rPr>
        <w:t>：中东市场要求产品符合伊斯兰教法，禁止饮酒、赌博相关编程案例；印度市场需支持印地语语音交互和种姓中立内容设计。应对策略包括建立区域文化委员会（含当地教育专家、宗教人士），产品上市前进行文化适配性测试（如沙特教育部指定第三方机构审核）。</w:t>
      </w:r>
    </w:p>
    <w:p w14:paraId="5F00CFE0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典型案例：途道机器人的生态化发展</w:t>
      </w:r>
    </w:p>
    <w:p w14:paraId="08612FD2">
      <w:pPr>
        <w:pStyle w:val="3"/>
        <w:widowControl/>
        <w:numPr>
          <w:ilvl w:val="0"/>
          <w:numId w:val="14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产品矩阵深度解析</w:t>
      </w:r>
    </w:p>
    <w:p w14:paraId="4BBDB892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基础教学系列</w:t>
      </w:r>
    </w:p>
    <w:p w14:paraId="39A0646C">
      <w:pPr>
        <w:pStyle w:val="11"/>
        <w:widowControl/>
        <w:numPr>
          <w:ilvl w:val="0"/>
          <w:numId w:val="15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机械编程师</w:t>
      </w:r>
      <w:r>
        <w:rPr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4</w:t>
      </w:r>
      <w:r>
        <w:rPr>
          <w:b/>
          <w:sz w:val="28"/>
          <w:szCs w:val="28"/>
        </w:rPr>
        <w:t>-6 岁）</w:t>
      </w:r>
      <w:r>
        <w:rPr>
          <w:sz w:val="28"/>
          <w:szCs w:val="28"/>
        </w:rPr>
        <w:t>：针对幼儿设计的无屏幕编程玩具，通过 6 个实体编程模块（前进、转向、灯光等）组合实现简单指令，配合 A</w:t>
      </w:r>
      <w:r>
        <w:rPr>
          <w:rFonts w:hint="eastAsia"/>
          <w:sz w:val="28"/>
          <w:szCs w:val="28"/>
          <w:lang w:val="en-US" w:eastAsia="zh-CN"/>
        </w:rPr>
        <w:t>I</w:t>
      </w:r>
      <w:r>
        <w:rPr>
          <w:sz w:val="28"/>
          <w:szCs w:val="28"/>
        </w:rPr>
        <w:t xml:space="preserve"> 故事书（如《机器人探险记》），将编程任务融入故事情节。安全设计达到食品接触级（FDA 认证），边角圆弧半径≥5mm，电池采用磁吸式防吞咽设计。</w:t>
      </w:r>
    </w:p>
    <w:p w14:paraId="77B5F432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进阶学习系列</w:t>
      </w:r>
    </w:p>
    <w:p w14:paraId="16786D3C">
      <w:pPr>
        <w:pStyle w:val="11"/>
        <w:widowControl/>
        <w:numPr>
          <w:ilvl w:val="0"/>
          <w:numId w:val="15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超霸编程大师</w:t>
      </w:r>
      <w:r>
        <w:rPr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6</w:t>
      </w:r>
      <w:r>
        <w:rPr>
          <w:b/>
          <w:sz w:val="28"/>
          <w:szCs w:val="28"/>
        </w:rPr>
        <w:t>-14 岁）</w:t>
      </w:r>
      <w:r>
        <w:rPr>
          <w:sz w:val="28"/>
          <w:szCs w:val="28"/>
        </w:rPr>
        <w:t>：模块化设计核心优势显著，支持机械结构自由组合（如搭建叉车、无人机起落架），满足不同学习阶段需求。AI 自适应功能实时分析代码效率，自动标注冗余指令（如提示 "可合并重复循环语句"），使代码优化能力提升 30%。</w:t>
      </w:r>
    </w:p>
    <w:p w14:paraId="30C208FD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专业竞赛系列</w:t>
      </w:r>
    </w:p>
    <w:p w14:paraId="72B8AE7A">
      <w:pPr>
        <w:pStyle w:val="11"/>
        <w:widowControl/>
        <w:numPr>
          <w:ilvl w:val="0"/>
          <w:numId w:val="15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指控板</w:t>
      </w:r>
      <w:r>
        <w:rPr>
          <w:b/>
          <w:sz w:val="28"/>
          <w:szCs w:val="28"/>
        </w:rPr>
        <w:t>（1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b/>
          <w:sz w:val="28"/>
          <w:szCs w:val="28"/>
        </w:rPr>
        <w:t>-18 岁）</w:t>
      </w:r>
      <w:r>
        <w:rPr>
          <w:sz w:val="28"/>
          <w:szCs w:val="28"/>
        </w:rPr>
        <w:t>：工业级配置满足竞赛需求，高精度伺服电机（扭矩 2.5N・m）支持复杂机械动作，视觉识别模块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sz w:val="28"/>
          <w:szCs w:val="28"/>
        </w:rPr>
        <w:t>集成 OpenCV 算法库，可识别 100 + 种颜色和形状。配套竞赛专用软件 T 道 Studio，支持实时数据监控（如电机转速、电池电压）和远程调试。</w:t>
      </w:r>
    </w:p>
    <w:p w14:paraId="7BDF1B2E">
      <w:pPr>
        <w:pStyle w:val="3"/>
        <w:widowControl/>
        <w:numPr>
          <w:ilvl w:val="0"/>
          <w:numId w:val="14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教育生态全景构建</w:t>
      </w:r>
    </w:p>
    <w:p w14:paraId="242DE41A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课程研发体系</w:t>
      </w:r>
    </w:p>
    <w:p w14:paraId="654FD737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建立 "需求调研 - 教学设计 - 技术实现 - 效果评估" 闭环：① 需求端对接教育部课程标准，每学期收集 2000 + 教师反馈；② 设计端采用 ADDIE 模型，每个课例包含 3 种难度梯度（基础 / 进阶 / 挑战）；③ 技术端由教育专家与工程师联合开发，确保编程任务与学科知识深度融合（如物理课 "机械能守恒" 通过机器人爬坡实验验证）；④ 评估端引入 CIPP 模型，累计收集 50 万份学生学习报告，形成课程迭代数据库。</w:t>
      </w:r>
    </w:p>
    <w:p w14:paraId="52380553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竞赛生态运营</w:t>
      </w:r>
    </w:p>
    <w:p w14:paraId="6F74909E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① 虚拟仿真赛项（使用 Webots 仿真平台），突破地域限制，2025 年线上赛参与人数达 80 万；② 跨学科评审机制，评委包含计算机科学家、教育专家、工程师，评分权重为技术实现 40%、创意设计 30%、团队协作 30%；③ 成果转化通道，优秀作品推荐参加 FIRST 机器人挑战赛、世界机器人大赛，2024 年获奖项目中 30% 获得专利申请指导。</w:t>
      </w:r>
    </w:p>
    <w:p w14:paraId="7A8197D7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特殊教育应用</w:t>
      </w:r>
    </w:p>
    <w:p w14:paraId="3E1D345F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自闭症干预机器人通过多模态交互改善社交能力：① 情感识别系统（摄像头 + 麦克风）实时分析面部表情和语音语调，准确率 85%；② 定制化教学方案，针对不同自闭症等级设计 6 类交互任务（从简单眼神接触到复杂故事复述）；③ 数据追踪系统，家长端 APP 实时查看干预进度，2024 年临床数据显示，使用 6 个月以上的儿童，主动社交频率提升 28%。</w:t>
      </w:r>
    </w:p>
    <w:p w14:paraId="4CA382B2">
      <w:pPr>
        <w:pStyle w:val="3"/>
        <w:widowControl/>
        <w:numPr>
          <w:ilvl w:val="0"/>
          <w:numId w:val="14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全球化战略实施路径</w:t>
      </w:r>
    </w:p>
    <w:p w14:paraId="39FD29B0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市场进入三阶段</w:t>
      </w:r>
    </w:p>
    <w:p w14:paraId="345CB40C">
      <w:pPr>
        <w:pStyle w:val="11"/>
        <w:widowControl/>
        <w:numPr>
          <w:ilvl w:val="0"/>
          <w:numId w:val="1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合规准备期（6-12 个月）</w:t>
      </w:r>
      <w:r>
        <w:rPr>
          <w:sz w:val="28"/>
          <w:szCs w:val="28"/>
        </w:rPr>
        <w:t>：完成目标市场安全认证（如北美 UL、欧洲 CE），建立本地化法律团队（处理数据合规、知识产权等问题），进入欧盟市场前，聘请柏林律师事务所完成 GDPR 合规改造。</w:t>
      </w:r>
    </w:p>
    <w:p w14:paraId="6614C8EC">
      <w:pPr>
        <w:pStyle w:val="11"/>
        <w:widowControl/>
        <w:numPr>
          <w:ilvl w:val="0"/>
          <w:numId w:val="1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渠道渗透期（12-24 个月）</w:t>
      </w:r>
      <w:r>
        <w:rPr>
          <w:sz w:val="28"/>
          <w:szCs w:val="28"/>
        </w:rPr>
        <w:t>：B 端市场通过教育展（如美国 ISTE 展、德国 Didacta 展）接触采购方，与当地教育机构建立代理合作（如英国 TTS 集团、澳大利亚 EdTech）；C 端市场入驻主流电商平台（亚马逊美国 / 欧洲站、日本乐天），推出本地化营销活动（如法国 "Back to School" 促销，西班牙圣诞季礼盒）。</w:t>
      </w:r>
    </w:p>
    <w:p w14:paraId="510C9621">
      <w:pPr>
        <w:pStyle w:val="11"/>
        <w:widowControl/>
        <w:numPr>
          <w:ilvl w:val="0"/>
          <w:numId w:val="1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生态融合期（24 个月 +）</w:t>
      </w:r>
      <w:r>
        <w:rPr>
          <w:sz w:val="28"/>
          <w:szCs w:val="28"/>
        </w:rPr>
        <w:t>：与当地高校建立联合实验室（如加拿大滑铁卢大学 AI 教育实验室），参与国家教育项目（如韩国 "AI Grand Challenge"），2025 年途道成为新加坡 "智慧国家" 计划指定编程教具供应商。</w:t>
      </w:r>
    </w:p>
    <w:p w14:paraId="6E012281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本地化创新实践</w:t>
      </w:r>
    </w:p>
    <w:p w14:paraId="3D9D4A4A">
      <w:pPr>
        <w:pStyle w:val="11"/>
        <w:widowControl/>
        <w:numPr>
          <w:ilvl w:val="0"/>
          <w:numId w:val="1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语言适配</w:t>
      </w:r>
      <w:r>
        <w:rPr>
          <w:sz w:val="28"/>
          <w:szCs w:val="28"/>
        </w:rPr>
        <w:t>：开发 8 种语言编程界面，泰语版采用辅音元音分词算法，解决东南亚语言连续书写识别难题；阿拉伯语版支持从右到左排版，适配 RTL（Right-to-Left）编程逻辑。</w:t>
      </w:r>
    </w:p>
    <w:p w14:paraId="2D79E0A3">
      <w:pPr>
        <w:pStyle w:val="11"/>
        <w:widowControl/>
        <w:numPr>
          <w:ilvl w:val="0"/>
          <w:numId w:val="16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文化定制</w:t>
      </w:r>
      <w:r>
        <w:rPr>
          <w:sz w:val="28"/>
          <w:szCs w:val="28"/>
        </w:rPr>
        <w:t>：印度版课程加入宝莱坞舞蹈编程案例，印尼版设计开斋节灯笼控制任务，中东版规避十字形机械结构设计（符合当地文化禁忌），本地化产品在目标市场的接受度提升 40%。</w:t>
      </w:r>
    </w:p>
    <w:p w14:paraId="2E69A411">
      <w:pPr>
        <w:pStyle w:val="2"/>
        <w:widowControl/>
        <w:numPr>
          <w:ilvl w:val="0"/>
          <w:numId w:val="1"/>
        </w:numPr>
        <w:ind w:left="0" w:leftChars="0" w:firstLine="0" w:firstLineChars="0"/>
        <w:rPr>
          <w:b w:val="0"/>
          <w:sz w:val="36"/>
          <w:szCs w:val="48"/>
        </w:rPr>
      </w:pPr>
      <w:r>
        <w:rPr>
          <w:sz w:val="36"/>
          <w:szCs w:val="48"/>
        </w:rPr>
        <w:t>未来展望与战略建议</w:t>
      </w:r>
    </w:p>
    <w:p w14:paraId="1EA712B7">
      <w:pPr>
        <w:pStyle w:val="3"/>
        <w:widowControl/>
        <w:numPr>
          <w:ilvl w:val="0"/>
          <w:numId w:val="17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2030 年远景预测</w:t>
      </w:r>
    </w:p>
    <w:p w14:paraId="7884EF75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市场规模与结构</w:t>
      </w:r>
    </w:p>
    <w:p w14:paraId="6297160E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全球市场规模将突破 400 亿美元，中国市场占比提升至 25%（约 100 亿美元）。产品结构显著优化：智能级产品占比超 60%，具备 AI 自适应、多模态交互功能的高端产品成为主流；服务收入占比提升至 45%，形成 "硬件即服务（HaaS）" 商业模式，企业通过订阅制提供持续课程更新、竞赛服务、数据报告。</w:t>
      </w:r>
    </w:p>
    <w:p w14:paraId="382630E7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技术范式变革</w:t>
      </w:r>
    </w:p>
    <w:p w14:paraId="38C2F127">
      <w:pPr>
        <w:pStyle w:val="11"/>
        <w:widowControl/>
        <w:numPr>
          <w:ilvl w:val="0"/>
          <w:numId w:val="18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脑机接口编程（BCI）</w:t>
      </w:r>
      <w:r>
        <w:rPr>
          <w:sz w:val="28"/>
          <w:szCs w:val="28"/>
        </w:rPr>
        <w:t>：非侵入式脑电设备（EEG 头环）普及，学生通过注意力集中度控制机器人，相关技术进入试验阶段（如 MIT 研发的 BCI 编程教学系统，准确率达 85%）。</w:t>
      </w:r>
    </w:p>
    <w:p w14:paraId="0550B80B">
      <w:pPr>
        <w:pStyle w:val="11"/>
        <w:widowControl/>
        <w:numPr>
          <w:ilvl w:val="0"/>
          <w:numId w:val="18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自主进化算法（AutoML）</w:t>
      </w:r>
      <w:r>
        <w:rPr>
          <w:sz w:val="28"/>
          <w:szCs w:val="28"/>
        </w:rPr>
        <w:t>：机器人可通过自我学习优化代码，AutoML 模块自动生成更高效的控制算法，学生从代码编写者转变为算法评估者，推动编程教育从 "实现功能" 向 "优化系统" 升级。</w:t>
      </w:r>
    </w:p>
    <w:p w14:paraId="0EC293DA">
      <w:pPr>
        <w:pStyle w:val="11"/>
        <w:widowControl/>
        <w:numPr>
          <w:ilvl w:val="0"/>
          <w:numId w:val="18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数字孪生技术</w:t>
      </w:r>
      <w:r>
        <w:rPr>
          <w:sz w:val="28"/>
          <w:szCs w:val="28"/>
        </w:rPr>
        <w:t>：虚拟机器人与实体设备 1:1 映射，支持远程调试、故障模拟，预计 2030 年 80% 的编程教学将先在数字孪生环境中进行，降低硬件损耗和安全风险。</w:t>
      </w:r>
    </w:p>
    <w:p w14:paraId="2369BE44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教育模式转型</w:t>
      </w:r>
    </w:p>
    <w:p w14:paraId="334D3334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形成 "个性化学习 + 项目制实践 + 全球化协作" 新范式：AI 诊断系统实现 100% 个性化学习方案，每个学生拥有专属的编程学习路径；跨地域项目协作常态化，如中美学生共同完成 "火星探测机器人" 编程任务，通过区块链记录协作过程并生成数字证书。</w:t>
      </w:r>
    </w:p>
    <w:p w14:paraId="6636ACC4">
      <w:pPr>
        <w:pStyle w:val="3"/>
        <w:widowControl/>
        <w:numPr>
          <w:ilvl w:val="0"/>
          <w:numId w:val="17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企业战略建议</w:t>
      </w:r>
    </w:p>
    <w:p w14:paraId="56D2FD1F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技术研发策略</w:t>
      </w:r>
    </w:p>
    <w:p w14:paraId="5DEB9EC4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底层技术攻坚</w:t>
      </w:r>
      <w:r>
        <w:rPr>
          <w:sz w:val="28"/>
          <w:szCs w:val="28"/>
        </w:rPr>
        <w:t>：聚焦 AI 认知诊断、低功耗边缘计算、高精度传感器等 "卡脖子" 技术，建立产学研深度融合机制（建议研发投入占比≥15%）。</w:t>
      </w:r>
    </w:p>
    <w:p w14:paraId="0FA9AB45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开放式创新平台</w:t>
      </w:r>
      <w:r>
        <w:rPr>
          <w:sz w:val="28"/>
          <w:szCs w:val="28"/>
        </w:rPr>
        <w:t>：搭建开发者社区（如 Makeblock 的 mBlock 社区），鼓励用户生成教学案例、硬件改装方案，通过分成机制激发创新活力，预计可降低 30% 的研发成本。</w:t>
      </w:r>
    </w:p>
    <w:p w14:paraId="3EBE1CC2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生态构建策略</w:t>
      </w:r>
    </w:p>
    <w:p w14:paraId="451940E7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教育资源整合</w:t>
      </w:r>
      <w:r>
        <w:rPr>
          <w:sz w:val="28"/>
          <w:szCs w:val="28"/>
        </w:rPr>
        <w:t>：与教材出版社（如人民教育出版社）、考试机构（如中国电子学会）合作，将产品嵌入国家课程体系和等级考试标准，形成 "教学 - 实训 - 认证" 闭环。</w:t>
      </w:r>
    </w:p>
    <w:p w14:paraId="5FFE517E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跨界融合创新</w:t>
      </w:r>
      <w:r>
        <w:rPr>
          <w:sz w:val="28"/>
          <w:szCs w:val="28"/>
        </w:rPr>
        <w:t>：探索编程教育与艺术、体育、文学的融合场景，如 "编程作曲机器人"" 运动轨迹编程游戏 ""互动小说编程创作"，扩大用户群体至非 STEM 领域。</w:t>
      </w:r>
    </w:p>
    <w:p w14:paraId="4B38C0DA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市场拓展策略</w:t>
      </w:r>
    </w:p>
    <w:p w14:paraId="0E46DCB3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下沉市场深耕</w:t>
      </w:r>
      <w:r>
        <w:rPr>
          <w:sz w:val="28"/>
          <w:szCs w:val="28"/>
        </w:rPr>
        <w:t>：针对中国县域和东南亚市场，开发低成本产品（单价 &lt; 1000 元），搭载太阳能充电模块（适应电力不稳定地区），通过 "硬件 + 云端课程" 模式降低使用门槛。</w:t>
      </w:r>
    </w:p>
    <w:p w14:paraId="5173EB23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政策红利捕捉</w:t>
      </w:r>
      <w:r>
        <w:rPr>
          <w:sz w:val="28"/>
          <w:szCs w:val="28"/>
        </w:rPr>
        <w:t>：密切跟踪各国教育信息化政策（如中国 "十四五" 教育发展规划、美国《教育复苏法案》），参与政府招标项目（建议设立专职政策研究团队）。</w:t>
      </w:r>
    </w:p>
    <w:p w14:paraId="77058F96">
      <w:pPr>
        <w:pStyle w:val="4"/>
        <w:widowControl/>
        <w:rPr>
          <w:sz w:val="32"/>
          <w:szCs w:val="28"/>
        </w:rPr>
      </w:pPr>
      <w:r>
        <w:rPr>
          <w:sz w:val="32"/>
          <w:szCs w:val="28"/>
        </w:rPr>
        <w:t>品牌建设策略</w:t>
      </w:r>
    </w:p>
    <w:p w14:paraId="240C9A8A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IP 化品牌塑造</w:t>
      </w:r>
      <w:r>
        <w:rPr>
          <w:sz w:val="28"/>
          <w:szCs w:val="28"/>
        </w:rPr>
        <w:t>：打造拟人化品牌形象，开发动画短片、科普漫画，在 B 站、YouTube 建立教育频道（建议内容营销预算占比≥20%）。</w:t>
      </w:r>
    </w:p>
    <w:p w14:paraId="6494396A">
      <w:pPr>
        <w:pStyle w:val="11"/>
        <w:widowControl/>
        <w:numPr>
          <w:ilvl w:val="0"/>
          <w:numId w:val="19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社会责任绑定</w:t>
      </w:r>
      <w:r>
        <w:rPr>
          <w:sz w:val="28"/>
          <w:szCs w:val="28"/>
        </w:rPr>
        <w:t>：实施 "编程普及计划"，向欠发达地区捐赠设备、培训教师，通过 CSR（企业社会责任）报告提升品牌公信力，相关举措可使消费者好感度提升 35%。</w:t>
      </w:r>
    </w:p>
    <w:p w14:paraId="1F49B54A">
      <w:pPr>
        <w:pStyle w:val="3"/>
        <w:widowControl/>
        <w:numPr>
          <w:ilvl w:val="0"/>
          <w:numId w:val="17"/>
        </w:numPr>
        <w:ind w:left="0" w:leftChars="0" w:firstLine="0" w:firstLineChars="0"/>
        <w:rPr>
          <w:b w:val="0"/>
          <w:sz w:val="32"/>
          <w:szCs w:val="36"/>
        </w:rPr>
      </w:pPr>
      <w:r>
        <w:rPr>
          <w:sz w:val="32"/>
          <w:szCs w:val="36"/>
        </w:rPr>
        <w:t>投资机会分析</w:t>
      </w:r>
    </w:p>
    <w:p w14:paraId="1635EF35">
      <w:pPr>
        <w:pStyle w:val="11"/>
        <w:widowControl/>
        <w:numPr>
          <w:ilvl w:val="0"/>
          <w:numId w:val="2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AI 教育引擎</w:t>
      </w:r>
      <w:r>
        <w:rPr>
          <w:sz w:val="28"/>
          <w:szCs w:val="28"/>
        </w:rPr>
        <w:t>：具备动态认知诊断、情感计算功能的软件系统，市场规模年增 40%，建议关注技术领先企业。</w:t>
      </w:r>
    </w:p>
    <w:p w14:paraId="73844B80">
      <w:pPr>
        <w:pStyle w:val="11"/>
        <w:widowControl/>
        <w:numPr>
          <w:ilvl w:val="0"/>
          <w:numId w:val="2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高端硬件组件</w:t>
      </w:r>
      <w:r>
        <w:rPr>
          <w:sz w:val="28"/>
          <w:szCs w:val="28"/>
        </w:rPr>
        <w:t>：高精度伺服电机（国产替代空间大）、固态激光雷达（成本下降空间 60%）、柔性传感器（教育机器人触觉反馈刚需），相关供应链企业具备投资价值。</w:t>
      </w:r>
    </w:p>
    <w:p w14:paraId="093E8AAE">
      <w:pPr>
        <w:pStyle w:val="11"/>
        <w:widowControl/>
        <w:numPr>
          <w:ilvl w:val="0"/>
          <w:numId w:val="20"/>
        </w:numPr>
        <w:ind w:left="0" w:leftChars="0" w:firstLine="480" w:firstLineChars="0"/>
        <w:rPr>
          <w:b w:val="0"/>
          <w:color w:val="3370FF"/>
          <w:sz w:val="28"/>
          <w:szCs w:val="28"/>
        </w:rPr>
      </w:pPr>
      <w:r>
        <w:rPr>
          <w:b/>
          <w:sz w:val="28"/>
          <w:szCs w:val="28"/>
        </w:rPr>
        <w:t>教育服务平台</w:t>
      </w:r>
      <w:r>
        <w:rPr>
          <w:sz w:val="28"/>
          <w:szCs w:val="28"/>
        </w:rPr>
        <w:t>：线上编程学习社区、竞赛运营平台、师资培训系统，轻资产模式适配性强，预计 2030 年市场规模达 120 亿美元。</w:t>
      </w:r>
    </w:p>
    <w:p w14:paraId="2768CDFF">
      <w:pPr>
        <w:pStyle w:val="2"/>
        <w:widowControl/>
        <w:rPr>
          <w:sz w:val="36"/>
          <w:szCs w:val="48"/>
        </w:rPr>
      </w:pPr>
      <w:r>
        <w:rPr>
          <w:sz w:val="36"/>
          <w:szCs w:val="48"/>
        </w:rPr>
        <w:t>结语</w:t>
      </w:r>
    </w:p>
    <w:p w14:paraId="0FE69916">
      <w:pPr>
        <w:pStyle w:val="11"/>
        <w:widowControl/>
        <w:rPr>
          <w:sz w:val="28"/>
          <w:szCs w:val="28"/>
        </w:rPr>
      </w:pPr>
      <w:r>
        <w:rPr>
          <w:sz w:val="28"/>
          <w:szCs w:val="28"/>
        </w:rPr>
        <w:t>编程教育机器人行业正经历从技术驱动到生态构建的关键跃迁，企业需以 "技术 + 教育 + 服务" 三维能力为支撑，在政策红利期抢占全球市场制高点。随着脑机接口、元宇宙等新技术的落地，行业将迎来更广阔的发展空间，最终实现从编程工具到创新能力培养平台的价值升维。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FDF21C"/>
    <w:multiLevelType w:val="singleLevel"/>
    <w:tmpl w:val="89FDF21C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">
    <w:nsid w:val="99208B86"/>
    <w:multiLevelType w:val="singleLevel"/>
    <w:tmpl w:val="99208B86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2">
    <w:nsid w:val="A12611D8"/>
    <w:multiLevelType w:val="singleLevel"/>
    <w:tmpl w:val="A12611D8"/>
    <w:lvl w:ilvl="0" w:tentative="0">
      <w:start w:val="1"/>
      <w:numFmt w:val="decimal"/>
      <w:suff w:val="space"/>
      <w:lvlText w:val="7.%1"/>
      <w:lvlJc w:val="left"/>
      <w:pPr>
        <w:ind w:left="0" w:firstLine="0"/>
      </w:pPr>
      <w:rPr>
        <w:rFonts w:hint="default"/>
      </w:rPr>
    </w:lvl>
  </w:abstractNum>
  <w:abstractNum w:abstractNumId="3">
    <w:nsid w:val="A7ACEDE6"/>
    <w:multiLevelType w:val="singleLevel"/>
    <w:tmpl w:val="A7ACEDE6"/>
    <w:lvl w:ilvl="0" w:tentative="0">
      <w:start w:val="1"/>
      <w:numFmt w:val="decimal"/>
      <w:suff w:val="space"/>
      <w:lvlText w:val="2.%1"/>
      <w:lvlJc w:val="left"/>
      <w:pPr>
        <w:ind w:left="0" w:firstLine="0"/>
      </w:pPr>
      <w:rPr>
        <w:rFonts w:hint="default"/>
      </w:rPr>
    </w:lvl>
  </w:abstractNum>
  <w:abstractNum w:abstractNumId="4">
    <w:nsid w:val="A9690992"/>
    <w:multiLevelType w:val="singleLevel"/>
    <w:tmpl w:val="A9690992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5">
    <w:nsid w:val="B4E5AE16"/>
    <w:multiLevelType w:val="singleLevel"/>
    <w:tmpl w:val="B4E5AE16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6">
    <w:nsid w:val="BAF0C898"/>
    <w:multiLevelType w:val="singleLevel"/>
    <w:tmpl w:val="BAF0C898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7">
    <w:nsid w:val="CC5AD887"/>
    <w:multiLevelType w:val="singleLevel"/>
    <w:tmpl w:val="CC5AD887"/>
    <w:lvl w:ilvl="0" w:tentative="0">
      <w:start w:val="1"/>
      <w:numFmt w:val="chineseCounting"/>
      <w:suff w:val="space"/>
      <w:lvlText w:val="第%1章"/>
      <w:lvlJc w:val="left"/>
      <w:pPr>
        <w:ind w:left="0" w:firstLine="0"/>
      </w:pPr>
      <w:rPr>
        <w:rFonts w:hint="eastAsia"/>
      </w:rPr>
    </w:lvl>
  </w:abstractNum>
  <w:abstractNum w:abstractNumId="8">
    <w:nsid w:val="CF54D34C"/>
    <w:multiLevelType w:val="singleLevel"/>
    <w:tmpl w:val="CF54D34C"/>
    <w:lvl w:ilvl="0" w:tentative="0">
      <w:start w:val="1"/>
      <w:numFmt w:val="decimal"/>
      <w:suff w:val="space"/>
      <w:lvlText w:val="5.%1"/>
      <w:lvlJc w:val="left"/>
      <w:pPr>
        <w:ind w:left="0" w:firstLine="0"/>
      </w:pPr>
      <w:rPr>
        <w:rFonts w:hint="default"/>
      </w:rPr>
    </w:lvl>
  </w:abstractNum>
  <w:abstractNum w:abstractNumId="9">
    <w:nsid w:val="EEC262C5"/>
    <w:multiLevelType w:val="singleLevel"/>
    <w:tmpl w:val="EEC262C5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0">
    <w:nsid w:val="EF76E776"/>
    <w:multiLevelType w:val="singleLevel"/>
    <w:tmpl w:val="EF76E776"/>
    <w:lvl w:ilvl="0" w:tentative="0">
      <w:start w:val="1"/>
      <w:numFmt w:val="decimal"/>
      <w:suff w:val="space"/>
      <w:lvlText w:val="6.%1"/>
      <w:lvlJc w:val="left"/>
      <w:pPr>
        <w:ind w:left="0" w:firstLine="0"/>
      </w:pPr>
      <w:rPr>
        <w:rFonts w:hint="default"/>
      </w:rPr>
    </w:lvl>
  </w:abstractNum>
  <w:abstractNum w:abstractNumId="11">
    <w:nsid w:val="0432F292"/>
    <w:multiLevelType w:val="singleLevel"/>
    <w:tmpl w:val="0432F292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2">
    <w:nsid w:val="0ADD4133"/>
    <w:multiLevelType w:val="singleLevel"/>
    <w:tmpl w:val="0ADD4133"/>
    <w:lvl w:ilvl="0" w:tentative="0">
      <w:start w:val="1"/>
      <w:numFmt w:val="decimal"/>
      <w:suff w:val="space"/>
      <w:lvlText w:val="1.%1"/>
      <w:lvlJc w:val="left"/>
      <w:pPr>
        <w:ind w:left="0" w:firstLine="0"/>
      </w:pPr>
      <w:rPr>
        <w:rFonts w:hint="default"/>
      </w:rPr>
    </w:lvl>
  </w:abstractNum>
  <w:abstractNum w:abstractNumId="13">
    <w:nsid w:val="1014450C"/>
    <w:multiLevelType w:val="singleLevel"/>
    <w:tmpl w:val="1014450C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4">
    <w:nsid w:val="10A37039"/>
    <w:multiLevelType w:val="singleLevel"/>
    <w:tmpl w:val="10A37039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5">
    <w:nsid w:val="251941BE"/>
    <w:multiLevelType w:val="singleLevel"/>
    <w:tmpl w:val="251941BE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6">
    <w:nsid w:val="33159BBF"/>
    <w:multiLevelType w:val="singleLevel"/>
    <w:tmpl w:val="33159BBF"/>
    <w:lvl w:ilvl="0" w:tentative="0">
      <w:start w:val="1"/>
      <w:numFmt w:val="decimal"/>
      <w:suff w:val="space"/>
      <w:lvlText w:val="4.%1"/>
      <w:lvlJc w:val="left"/>
      <w:pPr>
        <w:ind w:left="0" w:firstLine="0"/>
      </w:pPr>
      <w:rPr>
        <w:rFonts w:hint="default"/>
      </w:rPr>
    </w:lvl>
  </w:abstractNum>
  <w:abstractNum w:abstractNumId="17">
    <w:nsid w:val="425F051E"/>
    <w:multiLevelType w:val="singleLevel"/>
    <w:tmpl w:val="425F051E"/>
    <w:lvl w:ilvl="0" w:tentative="0">
      <w:start w:val="1"/>
      <w:numFmt w:val="decimal"/>
      <w:suff w:val="space"/>
      <w:lvlText w:val="3.%1"/>
      <w:lvlJc w:val="left"/>
      <w:pPr>
        <w:ind w:left="0" w:firstLine="0"/>
      </w:pPr>
      <w:rPr>
        <w:rFonts w:hint="default"/>
      </w:rPr>
    </w:lvl>
  </w:abstractNum>
  <w:abstractNum w:abstractNumId="18">
    <w:nsid w:val="5B189B5C"/>
    <w:multiLevelType w:val="singleLevel"/>
    <w:tmpl w:val="5B189B5C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9">
    <w:nsid w:val="5F11A201"/>
    <w:multiLevelType w:val="singleLevel"/>
    <w:tmpl w:val="5F11A201"/>
    <w:lvl w:ilvl="0" w:tentative="0">
      <w:start w:val="0"/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19"/>
  </w:num>
  <w:num w:numId="5">
    <w:abstractNumId w:val="17"/>
  </w:num>
  <w:num w:numId="6">
    <w:abstractNumId w:val="18"/>
  </w:num>
  <w:num w:numId="7">
    <w:abstractNumId w:val="14"/>
  </w:num>
  <w:num w:numId="8">
    <w:abstractNumId w:val="16"/>
  </w:num>
  <w:num w:numId="9">
    <w:abstractNumId w:val="4"/>
  </w:num>
  <w:num w:numId="10">
    <w:abstractNumId w:val="13"/>
  </w:num>
  <w:num w:numId="11">
    <w:abstractNumId w:val="8"/>
  </w:num>
  <w:num w:numId="12">
    <w:abstractNumId w:val="9"/>
  </w:num>
  <w:num w:numId="13">
    <w:abstractNumId w:val="1"/>
  </w:num>
  <w:num w:numId="14">
    <w:abstractNumId w:val="10"/>
  </w:num>
  <w:num w:numId="15">
    <w:abstractNumId w:val="5"/>
  </w:num>
  <w:num w:numId="16">
    <w:abstractNumId w:val="15"/>
  </w:num>
  <w:num w:numId="17">
    <w:abstractNumId w:val="2"/>
  </w:num>
  <w:num w:numId="18">
    <w:abstractNumId w:val="11"/>
  </w:num>
  <w:num w:numId="19">
    <w:abstractNumId w:val="6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8DB5EBF"/>
    <w:rsid w:val="19192BCF"/>
    <w:rsid w:val="2ED5690C"/>
    <w:rsid w:val="7000408C"/>
    <w:rsid w:val="755346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6">
    <w:name w:val="Default Paragraph Font"/>
    <w:semiHidden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footnote text"/>
    <w:link w:val="20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4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character" w:styleId="17">
    <w:name w:val="Hyperlink"/>
    <w:unhideWhenUsed/>
    <w:qFormat/>
    <w:uiPriority w:val="99"/>
    <w:rPr>
      <w:color w:val="0563C1"/>
      <w:u w:val="single"/>
    </w:rPr>
  </w:style>
  <w:style w:type="character" w:styleId="18">
    <w:name w:val="footnote reference"/>
    <w:semiHidden/>
    <w:unhideWhenUsed/>
    <w:qFormat/>
    <w:uiPriority w:val="99"/>
    <w:rPr>
      <w:vertAlign w:val="superscript"/>
    </w:rPr>
  </w:style>
  <w:style w:type="paragraph" w:styleId="19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20">
    <w:name w:val="Footnote Text Char"/>
    <w:link w:val="13"/>
    <w:semiHidden/>
    <w:unhideWhenUsed/>
    <w:qFormat/>
    <w:uiPriority w:val="99"/>
    <w:rPr>
      <w:sz w:val="20"/>
      <w:szCs w:val="20"/>
    </w:rPr>
  </w:style>
  <w:style w:type="paragraph" w:customStyle="1" w:styleId="21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2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8350</Words>
  <Characters>9499</Characters>
  <TotalTime>1</TotalTime>
  <ScaleCrop>false</ScaleCrop>
  <LinksUpToDate>false</LinksUpToDate>
  <CharactersWithSpaces>10225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2025-05-09T09:06:00Z</dcterms:created>
  <dc:creator>Un-named</dc:creator>
  <cp:lastModifiedBy>WPS_1648993508</cp:lastModifiedBy>
  <dcterms:modified xsi:type="dcterms:W3CDTF">2025-05-09T09:43:10Z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eyJoZGlkIjoiZThmNjAzMWJlZjFkMmQwODUwMTJkYzE2ODFiYmFmYTciLCJ1c2VySWQiOiIxMzUzMjM0MjM4In0=</vt:lpwstr>
  </property>
  <property fmtid="{D5CDD505-2E9C-101B-9397-08002B2CF9AE}" pid="3" name="KSOProductBuildVer">
    <vt:lpwstr>2052-12.1.0.20784</vt:lpwstr>
  </property>
  <property fmtid="{D5CDD505-2E9C-101B-9397-08002B2CF9AE}" pid="4" name="ICV">
    <vt:lpwstr>92D94E92177A4381A56E7E45F9D19F19_13</vt:lpwstr>
  </property>
</Properties>
</file>