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FCA7" w14:textId="38DEBC35" w:rsidR="005377F1" w:rsidRDefault="005377F1" w:rsidP="005377F1">
      <w:pPr>
        <w:pStyle w:val="af2"/>
      </w:pPr>
      <w:r>
        <w:rPr>
          <w:rFonts w:hint="eastAsia"/>
        </w:rPr>
        <w:t>中国财富管理行业发展现状、市场现状及行业全景分析</w:t>
      </w:r>
    </w:p>
    <w:p w14:paraId="74F309CD" w14:textId="2E6DFECE" w:rsidR="005377F1" w:rsidRPr="005377F1" w:rsidRDefault="005377F1" w:rsidP="005377F1">
      <w:pPr>
        <w:pStyle w:val="af4"/>
      </w:pPr>
      <w:r w:rsidRPr="005377F1">
        <w:t>一、财富管理行业综述</w:t>
      </w:r>
    </w:p>
    <w:p w14:paraId="2ACBF7D5" w14:textId="77777777" w:rsidR="005377F1" w:rsidRPr="005377F1" w:rsidRDefault="005377F1" w:rsidP="005377F1">
      <w:pPr>
        <w:pStyle w:val="af6"/>
      </w:pPr>
      <w:r w:rsidRPr="005377F1">
        <w:t>1、财富管理定义</w:t>
      </w:r>
    </w:p>
    <w:p w14:paraId="6DEF71AE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财富管理是指以客户为中心，设计出一套全面的财务规划，通过向客户提供现金、信用、保险、投资组合等一系列的金融服务，将客户的资产、负债、流动性进行管理，以满足客户不同阶段的财务需求，帮助客户达到降低风险、实现财富保值、增值和传承等目的。</w:t>
      </w:r>
    </w:p>
    <w:p w14:paraId="15E90F1C" w14:textId="77777777" w:rsidR="005377F1" w:rsidRPr="005377F1" w:rsidRDefault="005377F1" w:rsidP="005377F1">
      <w:pPr>
        <w:pStyle w:val="af6"/>
      </w:pPr>
      <w:r w:rsidRPr="005377F1">
        <w:t>2、财富管理市场规模</w:t>
      </w:r>
    </w:p>
    <w:p w14:paraId="28F5520E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2018年前，我国财富管理市场处于野蛮生长状态，增速较快。随着2018年“资管新规”的出台，银行理财的保本保息被打破，我国财富管理市场规模同比下降9.91%。同样也是2018年以来，在居民财富不断增长且财富管理诉求不断增强的基础上，监管部门开启了自上而下的顶层设计，从</w:t>
      </w:r>
      <w:proofErr w:type="gramStart"/>
      <w:r w:rsidRPr="005377F1">
        <w:rPr>
          <w:rFonts w:cs="Helvetica"/>
          <w:color w:val="000000"/>
        </w:rPr>
        <w:t>投顾业务</w:t>
      </w:r>
      <w:proofErr w:type="gramEnd"/>
      <w:r w:rsidRPr="005377F1">
        <w:rPr>
          <w:rFonts w:cs="Helvetica"/>
          <w:color w:val="000000"/>
        </w:rPr>
        <w:t>试点</w:t>
      </w:r>
      <w:proofErr w:type="gramStart"/>
      <w:r w:rsidRPr="005377F1">
        <w:rPr>
          <w:rFonts w:cs="Helvetica"/>
          <w:color w:val="000000"/>
        </w:rPr>
        <w:t>到资管机构</w:t>
      </w:r>
      <w:proofErr w:type="gramEnd"/>
      <w:r w:rsidRPr="005377F1">
        <w:rPr>
          <w:rFonts w:cs="Helvetica"/>
          <w:color w:val="000000"/>
        </w:rPr>
        <w:t>壮大再到投资标的丰富，推动着我国财富管理行业进入黄金发展周期，2019-2020年我国财富管理市场规模总体呈增长态势，从2018年的113.6亿元增长至2020年的126.7亿元。</w:t>
      </w:r>
    </w:p>
    <w:p w14:paraId="6659B55B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2015-2020年中国财富管理市场规模</w:t>
      </w:r>
    </w:p>
    <w:p w14:paraId="1A8F4ED6" w14:textId="00B793C4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lastRenderedPageBreak/>
        <w:drawing>
          <wp:inline distT="0" distB="0" distL="0" distR="0" wp14:anchorId="3DB16B49" wp14:editId="1DD7F3FB">
            <wp:extent cx="5095875" cy="3219450"/>
            <wp:effectExtent l="0" t="0" r="9525" b="0"/>
            <wp:docPr id="258338327" name="图片 1005" descr="2015-2020年中国财富管理市场规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0" descr="2015-2020年中国财富管理市场规模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01501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注：1、</w:t>
      </w:r>
      <w:proofErr w:type="gramStart"/>
      <w:r w:rsidRPr="005377F1">
        <w:rPr>
          <w:rFonts w:cs="Helvetica"/>
          <w:color w:val="000000"/>
        </w:rPr>
        <w:t>此处财管包括</w:t>
      </w:r>
      <w:proofErr w:type="gramEnd"/>
      <w:r w:rsidRPr="005377F1">
        <w:rPr>
          <w:rFonts w:cs="Helvetica"/>
          <w:color w:val="000000"/>
        </w:rPr>
        <w:t>以基金经理为代表的资产管理业务，也包括以财富顾问为代表的狭义财富管理业务两个方面；2、数据口径：银行理财、信托、券商、保险、基金及其子公司专户、公募基金、私募基金和期货；3、此处为存续规模。</w:t>
      </w:r>
    </w:p>
    <w:p w14:paraId="77C26FBF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资料来源：公开资料整理</w:t>
      </w:r>
    </w:p>
    <w:p w14:paraId="7945EEEA" w14:textId="77777777" w:rsidR="005377F1" w:rsidRPr="005377F1" w:rsidRDefault="005377F1" w:rsidP="005377F1">
      <w:pPr>
        <w:pStyle w:val="af6"/>
      </w:pPr>
      <w:r w:rsidRPr="005377F1">
        <w:t>3、中国财富管理市场细分结构</w:t>
      </w:r>
    </w:p>
    <w:p w14:paraId="0AEB8305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银行理财是财富管理市场的大头，2015-2017年，银行理财份额占</w:t>
      </w:r>
      <w:proofErr w:type="gramStart"/>
      <w:r w:rsidRPr="005377F1">
        <w:rPr>
          <w:rFonts w:cs="Helvetica"/>
          <w:color w:val="000000"/>
        </w:rPr>
        <w:t>比持续</w:t>
      </w:r>
      <w:proofErr w:type="gramEnd"/>
      <w:r w:rsidRPr="005377F1">
        <w:rPr>
          <w:rFonts w:cs="Helvetica"/>
          <w:color w:val="000000"/>
        </w:rPr>
        <w:t>维持在24%上下，但随着2018年“资管新规”的出台，银行理财的保本保息被打破，2018-2020年份额占比降至20%上下，这表明市场更愿意选择稳定增长的投资产品，投资者总体偏保守。2019年以前，份额排在第二的是信托业务，2017年达到最高的20.8%，然而业务比例在2018年以后逐年下降，从2017年的20.8%下降至2020年16.2%，2018年“去通道”冲击致使信托业务陷入资产规模收缩的调整期。2015-2020年，保险份额大幅度上升，从13.7%增加到18.4%，可见随着居民收入的提升以及万能险、</w:t>
      </w:r>
      <w:proofErr w:type="gramStart"/>
      <w:r w:rsidRPr="005377F1">
        <w:rPr>
          <w:rFonts w:cs="Helvetica"/>
          <w:color w:val="000000"/>
        </w:rPr>
        <w:t>投连险等</w:t>
      </w:r>
      <w:proofErr w:type="gramEnd"/>
      <w:r w:rsidRPr="005377F1">
        <w:rPr>
          <w:rFonts w:cs="Helvetica"/>
          <w:color w:val="000000"/>
        </w:rPr>
        <w:t>险种创新，大众对保险这类资产的关注与热情在逐渐提升。另外基金份额也在快速提升，大众以及中高净值客户对基金（包括公募与私募基金）的热情越来越高，受益于2020年资本市场的结构性行情，公募与私募基金份额合计达29.1%，同比2019年增加4.3个百分点。</w:t>
      </w:r>
    </w:p>
    <w:p w14:paraId="080DFB9C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lastRenderedPageBreak/>
        <w:t>2015-2020年中国财富管理市场规模占比</w:t>
      </w:r>
    </w:p>
    <w:p w14:paraId="1B7A4A45" w14:textId="4316762E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drawing>
          <wp:inline distT="0" distB="0" distL="0" distR="0" wp14:anchorId="5A6D9401" wp14:editId="217FE8E6">
            <wp:extent cx="5076825" cy="3200400"/>
            <wp:effectExtent l="0" t="0" r="9525" b="0"/>
            <wp:docPr id="1420879709" name="图片 1004" descr="2015-2020年中国财富管理市场规模占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1" descr="2015-2020年中国财富管理市场规模占比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FEE31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资料来源：公开资料整理</w:t>
      </w:r>
    </w:p>
    <w:p w14:paraId="6FE19F52" w14:textId="77777777" w:rsidR="005377F1" w:rsidRPr="005377F1" w:rsidRDefault="005377F1" w:rsidP="005377F1">
      <w:pPr>
        <w:pStyle w:val="af6"/>
      </w:pPr>
      <w:r w:rsidRPr="005377F1">
        <w:t>4、财富管理行业产业链</w:t>
      </w:r>
    </w:p>
    <w:p w14:paraId="3DA9FE9B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财富管理产业</w:t>
      </w:r>
      <w:proofErr w:type="gramStart"/>
      <w:r w:rsidRPr="005377F1">
        <w:rPr>
          <w:rFonts w:cs="Helvetica"/>
          <w:color w:val="000000"/>
        </w:rPr>
        <w:t>链包括</w:t>
      </w:r>
      <w:proofErr w:type="gramEnd"/>
      <w:r w:rsidRPr="005377F1">
        <w:rPr>
          <w:rFonts w:cs="Helvetica"/>
          <w:color w:val="000000"/>
        </w:rPr>
        <w:t>四个环节：一是上游的居民财富；二是中游的财富管理机构，主要是各类销售平台；三是下游的资产管理机构，即各类产品创设/管理机构；四是底层的各类投资标的。</w:t>
      </w:r>
    </w:p>
    <w:p w14:paraId="3D9956DA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财富管理行业产业链</w:t>
      </w:r>
    </w:p>
    <w:p w14:paraId="3EA5BB2B" w14:textId="3BAB4E11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drawing>
          <wp:inline distT="0" distB="0" distL="0" distR="0" wp14:anchorId="38D3C4F4" wp14:editId="42CC88DD">
            <wp:extent cx="5274310" cy="2009140"/>
            <wp:effectExtent l="0" t="0" r="2540" b="0"/>
            <wp:docPr id="234718100" name="图片 1003" descr="财富管理行业产业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2" descr="财富管理行业产业链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A2F84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资料来源：公开资料整理</w:t>
      </w:r>
    </w:p>
    <w:p w14:paraId="5CCDE56B" w14:textId="77777777" w:rsidR="005377F1" w:rsidRPr="005377F1" w:rsidRDefault="005377F1" w:rsidP="005377F1">
      <w:pPr>
        <w:pStyle w:val="af4"/>
      </w:pPr>
      <w:r w:rsidRPr="005377F1">
        <w:lastRenderedPageBreak/>
        <w:t>二、财富管理行业上游：居民财富</w:t>
      </w:r>
    </w:p>
    <w:p w14:paraId="61E72D7C" w14:textId="77777777" w:rsidR="005377F1" w:rsidRPr="005377F1" w:rsidRDefault="005377F1" w:rsidP="005377F1">
      <w:pPr>
        <w:pStyle w:val="af6"/>
      </w:pPr>
      <w:r w:rsidRPr="005377F1">
        <w:t>1、居民可投资资产规模与结构</w:t>
      </w:r>
    </w:p>
    <w:p w14:paraId="7CC8D24C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随着我国经济社会的持续发展，中国居民可投资资产规模保持稳健成长，2019年规模达160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元，2020年预估达到182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元。在可投资资产组成结构中，现金、</w:t>
      </w:r>
      <w:proofErr w:type="gramStart"/>
      <w:r w:rsidRPr="005377F1">
        <w:rPr>
          <w:rFonts w:cs="Helvetica"/>
          <w:color w:val="000000"/>
        </w:rPr>
        <w:t>活期与</w:t>
      </w:r>
      <w:proofErr w:type="gramEnd"/>
      <w:r w:rsidRPr="005377F1">
        <w:rPr>
          <w:rFonts w:cs="Helvetica"/>
          <w:color w:val="000000"/>
        </w:rPr>
        <w:t>定期存款占据大头，2019年共计占比58%，而实际持有的公募基金（个人持有部分）等理财产品具有较大的成长空间。</w:t>
      </w:r>
    </w:p>
    <w:p w14:paraId="3F38AF29" w14:textId="3FCC0F29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2017-2020年中国个人持有可投资资产规模</w:t>
      </w:r>
      <w:r w:rsidRPr="005377F1">
        <w:rPr>
          <w:rFonts w:cs="Helvetica"/>
          <w:noProof/>
          <w:color w:val="000000"/>
        </w:rPr>
        <w:drawing>
          <wp:inline distT="0" distB="0" distL="0" distR="0" wp14:anchorId="2F378F45" wp14:editId="68F2A5B5">
            <wp:extent cx="5124450" cy="3190875"/>
            <wp:effectExtent l="0" t="0" r="0" b="9525"/>
            <wp:docPr id="14302253" name="图片 1002" descr="2017-2020年中国个人持有可投资资产规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3" descr="2017-2020年中国个人持有可投资资产规模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493FA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资料来源：蚂蚁集团招股说明书，华经产业研究院整理</w:t>
      </w:r>
    </w:p>
    <w:p w14:paraId="50CDE717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2019年中国个人可投资资产构成</w:t>
      </w:r>
    </w:p>
    <w:p w14:paraId="06272E35" w14:textId="5830A3F2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lastRenderedPageBreak/>
        <w:drawing>
          <wp:inline distT="0" distB="0" distL="0" distR="0" wp14:anchorId="0180209D" wp14:editId="45AB5034">
            <wp:extent cx="5124450" cy="3219450"/>
            <wp:effectExtent l="0" t="0" r="0" b="0"/>
            <wp:docPr id="648864485" name="图片 1001" descr="2019年中国个人可投资资产构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4" descr="2019年中国个人可投资资产构成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45A5B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资料来源：Oliver Wyman，华经产业研究院整理</w:t>
      </w:r>
    </w:p>
    <w:p w14:paraId="15AB2A41" w14:textId="77777777" w:rsidR="005377F1" w:rsidRPr="005377F1" w:rsidRDefault="005377F1" w:rsidP="005377F1">
      <w:pPr>
        <w:pStyle w:val="af6"/>
      </w:pPr>
      <w:r w:rsidRPr="005377F1">
        <w:t>2、“房住不炒”推进居民财富配置转型</w:t>
      </w:r>
    </w:p>
    <w:p w14:paraId="6280C73E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根据招商银行与贝恩公司发布的《2019年中国私人财富报告》，2019预计中国个人持有的可投资资产规模达200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元，这与前文提出的160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元相差较大，这是因为前者还包含投资性不动产净值这一指标，即房地产投资。基于两者数据，我们可以推算出我国投资性不动产净值约为40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。近两年来，中央经济工作会议以及中央政治局会议多次强调，坚持“房住不炒”的定位，这也就意味着中国房地产的投资属性将持续削弱，这将推进中国居民财富配置结构逐步转型，原本投资于房地产的资金将更多地转向金融市场。</w:t>
      </w:r>
    </w:p>
    <w:p w14:paraId="0168883E" w14:textId="2B105A02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lastRenderedPageBreak/>
        <w:t>2019年中国投资性不动产净值规模</w:t>
      </w:r>
      <w:r w:rsidRPr="005377F1">
        <w:rPr>
          <w:rFonts w:cs="Helvetica"/>
          <w:noProof/>
          <w:color w:val="000000"/>
        </w:rPr>
        <w:drawing>
          <wp:inline distT="0" distB="0" distL="0" distR="0" wp14:anchorId="2B6FD2A5" wp14:editId="7420D821">
            <wp:extent cx="5095875" cy="3190875"/>
            <wp:effectExtent l="0" t="0" r="9525" b="9525"/>
            <wp:docPr id="506855206" name="图片 1000" descr="2019年中国投资性不动产净值规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5" descr="2019年中国投资性不动产净值规模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F6986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资料来源：蚂蚁集团，招商银行，贝恩，华经产业研究院整理</w:t>
      </w:r>
    </w:p>
    <w:p w14:paraId="75BFF997" w14:textId="3446CF0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相关报告：华经产业研究院发布的《2023-2028年中国财富管理行业市场深度分析及投资战略研究报告》</w:t>
      </w:r>
    </w:p>
    <w:p w14:paraId="60D71F3C" w14:textId="77777777" w:rsidR="005377F1" w:rsidRPr="005377F1" w:rsidRDefault="005377F1" w:rsidP="005377F1">
      <w:pPr>
        <w:pStyle w:val="af4"/>
      </w:pPr>
      <w:r w:rsidRPr="005377F1">
        <w:t>三、财富管理行业中游：财富管理机构</w:t>
      </w:r>
    </w:p>
    <w:p w14:paraId="37D62F51" w14:textId="77777777" w:rsidR="005377F1" w:rsidRPr="005377F1" w:rsidRDefault="005377F1" w:rsidP="005377F1">
      <w:pPr>
        <w:pStyle w:val="af6"/>
      </w:pPr>
      <w:r w:rsidRPr="005377F1">
        <w:t>1、</w:t>
      </w:r>
      <w:proofErr w:type="gramStart"/>
      <w:r w:rsidRPr="005377F1">
        <w:t>资管新规</w:t>
      </w:r>
      <w:proofErr w:type="gramEnd"/>
      <w:r w:rsidRPr="005377F1">
        <w:t>修正行业规则</w:t>
      </w:r>
    </w:p>
    <w:p w14:paraId="2EE20D32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2018年4月，《关于规范金融机构资产管理业务的指导意见》（简称“资管新规”）正式推出。新</w:t>
      </w:r>
      <w:proofErr w:type="gramStart"/>
      <w:r w:rsidRPr="005377F1">
        <w:rPr>
          <w:rFonts w:cs="Helvetica"/>
          <w:color w:val="000000"/>
        </w:rPr>
        <w:t>规</w:t>
      </w:r>
      <w:proofErr w:type="gramEnd"/>
      <w:r w:rsidRPr="005377F1">
        <w:rPr>
          <w:rFonts w:cs="Helvetica"/>
          <w:color w:val="000000"/>
        </w:rPr>
        <w:t>强调要解决当前行业存在的部分业务发展不规范、刚性兑付、多层嵌套、监管套利等问题，通过统一监管、打破</w:t>
      </w:r>
      <w:proofErr w:type="gramStart"/>
      <w:r w:rsidRPr="005377F1">
        <w:rPr>
          <w:rFonts w:cs="Helvetica"/>
          <w:color w:val="000000"/>
        </w:rPr>
        <w:t>刚兑等手段</w:t>
      </w:r>
      <w:proofErr w:type="gramEnd"/>
      <w:r w:rsidRPr="005377F1">
        <w:rPr>
          <w:rFonts w:cs="Helvetica"/>
          <w:color w:val="000000"/>
        </w:rPr>
        <w:t>对行业规则进行系统性调整。随后，针对银行、信托、保险等各业具体情况，监管机构相继发布配套细则协助新</w:t>
      </w:r>
      <w:proofErr w:type="gramStart"/>
      <w:r w:rsidRPr="005377F1">
        <w:rPr>
          <w:rFonts w:cs="Helvetica"/>
          <w:color w:val="000000"/>
        </w:rPr>
        <w:t>规</w:t>
      </w:r>
      <w:proofErr w:type="gramEnd"/>
      <w:r w:rsidRPr="005377F1">
        <w:rPr>
          <w:rFonts w:cs="Helvetica"/>
          <w:color w:val="000000"/>
        </w:rPr>
        <w:t>落地。</w:t>
      </w:r>
    </w:p>
    <w:p w14:paraId="3120F7AE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proofErr w:type="gramStart"/>
      <w:r w:rsidRPr="005377F1">
        <w:rPr>
          <w:rFonts w:cs="Helvetica"/>
          <w:color w:val="000000"/>
        </w:rPr>
        <w:t>资管新规</w:t>
      </w:r>
      <w:proofErr w:type="gramEnd"/>
      <w:r w:rsidRPr="005377F1">
        <w:rPr>
          <w:rFonts w:cs="Helvetica"/>
          <w:color w:val="000000"/>
        </w:rPr>
        <w:t>对不同财富管理主体产生的影响</w:t>
      </w:r>
    </w:p>
    <w:p w14:paraId="58CA90BF" w14:textId="4102F66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lastRenderedPageBreak/>
        <w:drawing>
          <wp:inline distT="0" distB="0" distL="0" distR="0" wp14:anchorId="7BF0D2D7" wp14:editId="33398729">
            <wp:extent cx="5274310" cy="5922010"/>
            <wp:effectExtent l="0" t="0" r="2540" b="2540"/>
            <wp:docPr id="1182360227" name="图片 999" descr="资管新规对不同财富管理主体产生的影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6" descr="资管新规对不同财富管理主体产生的影响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2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FD49D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资料来源：公开资料整理</w:t>
      </w:r>
    </w:p>
    <w:p w14:paraId="562C7415" w14:textId="77777777" w:rsidR="005377F1" w:rsidRPr="005377F1" w:rsidRDefault="005377F1" w:rsidP="005377F1">
      <w:pPr>
        <w:pStyle w:val="af6"/>
      </w:pPr>
      <w:r w:rsidRPr="005377F1">
        <w:t>2、基金</w:t>
      </w:r>
      <w:proofErr w:type="gramStart"/>
      <w:r w:rsidRPr="005377F1">
        <w:t>投顾业务</w:t>
      </w:r>
      <w:proofErr w:type="gramEnd"/>
      <w:r w:rsidRPr="005377F1">
        <w:t>进入公众视野</w:t>
      </w:r>
    </w:p>
    <w:p w14:paraId="026E3CF3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2019年10月24日，证监会机构部下发了《关于做好公开募集证券投资基金投资顾问行业试点工作的通知》，由此基金</w:t>
      </w:r>
      <w:proofErr w:type="gramStart"/>
      <w:r w:rsidRPr="005377F1">
        <w:rPr>
          <w:rFonts w:cs="Helvetica"/>
          <w:color w:val="000000"/>
        </w:rPr>
        <w:t>投顾业务</w:t>
      </w:r>
      <w:proofErr w:type="gramEnd"/>
      <w:r w:rsidRPr="005377F1">
        <w:rPr>
          <w:rFonts w:cs="Helvetica"/>
          <w:color w:val="000000"/>
        </w:rPr>
        <w:t>试点开闸，逐步推动国内金融机构由</w:t>
      </w:r>
      <w:proofErr w:type="gramStart"/>
      <w:r w:rsidRPr="005377F1">
        <w:rPr>
          <w:rFonts w:cs="Helvetica"/>
          <w:color w:val="000000"/>
        </w:rPr>
        <w:t>卖方投顾转型</w:t>
      </w:r>
      <w:proofErr w:type="gramEnd"/>
      <w:r w:rsidRPr="005377F1">
        <w:rPr>
          <w:rFonts w:cs="Helvetica"/>
          <w:color w:val="000000"/>
        </w:rPr>
        <w:t>买方投顾。基金</w:t>
      </w:r>
      <w:proofErr w:type="gramStart"/>
      <w:r w:rsidRPr="005377F1">
        <w:rPr>
          <w:rFonts w:cs="Helvetica"/>
          <w:color w:val="000000"/>
        </w:rPr>
        <w:t>投顾业务</w:t>
      </w:r>
      <w:proofErr w:type="gramEnd"/>
      <w:r w:rsidRPr="005377F1">
        <w:rPr>
          <w:rFonts w:cs="Helvetica"/>
          <w:color w:val="000000"/>
        </w:rPr>
        <w:t>按照“试点先行、稳步推开”的步骤逐步发展，从制度端来看，这意味着中国真正以客户盈利而非产品销售为导向、与客户利益一致的买方</w:t>
      </w:r>
      <w:proofErr w:type="gramStart"/>
      <w:r w:rsidRPr="005377F1">
        <w:rPr>
          <w:rFonts w:cs="Helvetica"/>
          <w:color w:val="000000"/>
        </w:rPr>
        <w:t>投顾业务</w:t>
      </w:r>
      <w:proofErr w:type="gramEnd"/>
      <w:r w:rsidRPr="005377F1">
        <w:rPr>
          <w:rFonts w:cs="Helvetica"/>
          <w:color w:val="000000"/>
        </w:rPr>
        <w:t>模式将正式进入公众视野。截至2020年底，共有18家机构拿下试点资质，包含5家公募基金、3家第三</w:t>
      </w:r>
      <w:proofErr w:type="gramStart"/>
      <w:r w:rsidRPr="005377F1">
        <w:rPr>
          <w:rFonts w:cs="Helvetica"/>
          <w:color w:val="000000"/>
        </w:rPr>
        <w:t>方销售</w:t>
      </w:r>
      <w:proofErr w:type="gramEnd"/>
      <w:r w:rsidRPr="005377F1">
        <w:rPr>
          <w:rFonts w:cs="Helvetica"/>
          <w:color w:val="000000"/>
        </w:rPr>
        <w:t>机构、3家银行、7家券商。</w:t>
      </w:r>
    </w:p>
    <w:p w14:paraId="5A24D84B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lastRenderedPageBreak/>
        <w:t>“试点先行、稳步推开”</w:t>
      </w:r>
    </w:p>
    <w:p w14:paraId="528AA0EB" w14:textId="537A2B82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drawing>
          <wp:inline distT="0" distB="0" distL="0" distR="0" wp14:anchorId="60D571B6" wp14:editId="38814D2B">
            <wp:extent cx="5274310" cy="2188845"/>
            <wp:effectExtent l="0" t="0" r="2540" b="1905"/>
            <wp:docPr id="354175863" name="图片 998" descr="“试点先行、稳步推开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7" descr="“试点先行、稳步推开”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C48E4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资料来源：中国证监会，华经产业研究院整理</w:t>
      </w:r>
    </w:p>
    <w:p w14:paraId="28950D6C" w14:textId="77777777" w:rsidR="005377F1" w:rsidRPr="005377F1" w:rsidRDefault="005377F1" w:rsidP="005377F1">
      <w:pPr>
        <w:pStyle w:val="af4"/>
      </w:pPr>
      <w:r w:rsidRPr="005377F1">
        <w:t>四、财富管理行业下游：资产管理机构</w:t>
      </w:r>
    </w:p>
    <w:p w14:paraId="7930C3B8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近年来，符合监管规范的资产管理机构不断壮大，如理财子公司数量的不断上升（截至2020年末，已有24家银行理财子获批筹建，20家开业）、保险资产管理业务新</w:t>
      </w:r>
      <w:proofErr w:type="gramStart"/>
      <w:r w:rsidRPr="005377F1">
        <w:rPr>
          <w:rFonts w:cs="Helvetica"/>
          <w:color w:val="000000"/>
        </w:rPr>
        <w:t>规</w:t>
      </w:r>
      <w:proofErr w:type="gramEnd"/>
      <w:r w:rsidRPr="005377F1">
        <w:rPr>
          <w:rFonts w:cs="Helvetica"/>
          <w:color w:val="000000"/>
        </w:rPr>
        <w:t>落地</w:t>
      </w:r>
      <w:proofErr w:type="gramStart"/>
      <w:r w:rsidRPr="005377F1">
        <w:rPr>
          <w:rFonts w:cs="Helvetica"/>
          <w:color w:val="000000"/>
        </w:rPr>
        <w:t>且险资入市</w:t>
      </w:r>
      <w:proofErr w:type="gramEnd"/>
      <w:r w:rsidRPr="005377F1">
        <w:rPr>
          <w:rFonts w:cs="Helvetica"/>
          <w:color w:val="000000"/>
        </w:rPr>
        <w:t>（根据银保监会数据，截至2020年10月保险资金通过证券投资或基金投资进入A股市场的规模为27469亿元）、公</w:t>
      </w:r>
      <w:proofErr w:type="gramStart"/>
      <w:r w:rsidRPr="005377F1">
        <w:rPr>
          <w:rFonts w:cs="Helvetica"/>
          <w:color w:val="000000"/>
        </w:rPr>
        <w:t>募基金</w:t>
      </w:r>
      <w:proofErr w:type="gramEnd"/>
      <w:r w:rsidRPr="005377F1">
        <w:rPr>
          <w:rFonts w:cs="Helvetica"/>
          <w:color w:val="000000"/>
        </w:rPr>
        <w:t>新发基金规模快速壮大（2020年中国公</w:t>
      </w:r>
      <w:proofErr w:type="gramStart"/>
      <w:r w:rsidRPr="005377F1">
        <w:rPr>
          <w:rFonts w:cs="Helvetica"/>
          <w:color w:val="000000"/>
        </w:rPr>
        <w:t>募基金</w:t>
      </w:r>
      <w:proofErr w:type="gramEnd"/>
      <w:r w:rsidRPr="005377F1">
        <w:rPr>
          <w:rFonts w:cs="Helvetica"/>
          <w:color w:val="000000"/>
        </w:rPr>
        <w:t>新增5</w:t>
      </w:r>
      <w:proofErr w:type="gramStart"/>
      <w:r w:rsidRPr="005377F1">
        <w:rPr>
          <w:rFonts w:cs="Helvetica"/>
          <w:color w:val="000000"/>
        </w:rPr>
        <w:t>万亿</w:t>
      </w:r>
      <w:proofErr w:type="gramEnd"/>
      <w:r w:rsidRPr="005377F1">
        <w:rPr>
          <w:rFonts w:cs="Helvetica"/>
          <w:color w:val="000000"/>
        </w:rPr>
        <w:t>元，接近2016-2019年四年之和）。</w:t>
      </w:r>
      <w:proofErr w:type="gramStart"/>
      <w:r w:rsidRPr="005377F1">
        <w:rPr>
          <w:rFonts w:cs="Helvetica"/>
          <w:color w:val="000000"/>
        </w:rPr>
        <w:t>资管队伍</w:t>
      </w:r>
      <w:proofErr w:type="gramEnd"/>
      <w:r w:rsidRPr="005377F1">
        <w:rPr>
          <w:rFonts w:cs="Helvetica"/>
          <w:color w:val="000000"/>
        </w:rPr>
        <w:t>的不断壮大，也使得近年来A股市场的机构投资者占比明显增加，2014年机构投资者仅占有27.6%，截止到2020年10月，占比已达到47.1%。</w:t>
      </w:r>
    </w:p>
    <w:p w14:paraId="5ED161BA" w14:textId="773784CB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lastRenderedPageBreak/>
        <w:t>2016-2020年中国新增公</w:t>
      </w:r>
      <w:proofErr w:type="gramStart"/>
      <w:r w:rsidRPr="005377F1">
        <w:rPr>
          <w:rFonts w:cs="Helvetica"/>
          <w:color w:val="000000"/>
        </w:rPr>
        <w:t>募基金</w:t>
      </w:r>
      <w:proofErr w:type="gramEnd"/>
      <w:r w:rsidRPr="005377F1">
        <w:rPr>
          <w:rFonts w:cs="Helvetica"/>
          <w:color w:val="000000"/>
        </w:rPr>
        <w:t>规模</w:t>
      </w:r>
      <w:r w:rsidRPr="005377F1">
        <w:rPr>
          <w:rFonts w:cs="Helvetica"/>
          <w:noProof/>
          <w:color w:val="000000"/>
        </w:rPr>
        <w:drawing>
          <wp:inline distT="0" distB="0" distL="0" distR="0" wp14:anchorId="77782F0D" wp14:editId="702C86AD">
            <wp:extent cx="5095875" cy="3200400"/>
            <wp:effectExtent l="0" t="0" r="9525" b="0"/>
            <wp:docPr id="748046268" name="图片 997" descr="2016-2020年中国新增公募基金规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8" descr="2016-2020年中国新增公募基金规模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F0E63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资料来源：中国证券投资基金业协会，华经产业研究院整理</w:t>
      </w:r>
    </w:p>
    <w:p w14:paraId="6DF7C26E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2014-2020年A</w:t>
      </w:r>
      <w:proofErr w:type="gramStart"/>
      <w:r w:rsidRPr="005377F1">
        <w:rPr>
          <w:rFonts w:cs="Helvetica"/>
          <w:color w:val="000000"/>
        </w:rPr>
        <w:t>股机构</w:t>
      </w:r>
      <w:proofErr w:type="gramEnd"/>
      <w:r w:rsidRPr="005377F1">
        <w:rPr>
          <w:rFonts w:cs="Helvetica"/>
          <w:color w:val="000000"/>
        </w:rPr>
        <w:t>投资者市值占比变化情况</w:t>
      </w:r>
    </w:p>
    <w:p w14:paraId="54EAE754" w14:textId="5CD16848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drawing>
          <wp:inline distT="0" distB="0" distL="0" distR="0" wp14:anchorId="58B2010E" wp14:editId="3BFC6592">
            <wp:extent cx="5124450" cy="3228975"/>
            <wp:effectExtent l="0" t="0" r="0" b="9525"/>
            <wp:docPr id="279320897" name="图片 996" descr="2014-2020年A股机构投资者市值占比变化情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9" descr="2014-2020年A股机构投资者市值占比变化情况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9549C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注：1、数据截止于2020年10月30日；2、此处机构投资者包括外资、信托、企业年金、私募基金、公募基金、社保基金、保险、券商以及其他机构。</w:t>
      </w:r>
    </w:p>
    <w:p w14:paraId="2AEFCF5F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lastRenderedPageBreak/>
        <w:t>资料来源：公开资料整理</w:t>
      </w:r>
    </w:p>
    <w:p w14:paraId="4CF33C2A" w14:textId="77777777" w:rsidR="005377F1" w:rsidRPr="005377F1" w:rsidRDefault="005377F1" w:rsidP="005377F1">
      <w:pPr>
        <w:pStyle w:val="af4"/>
      </w:pPr>
      <w:r w:rsidRPr="005377F1">
        <w:t>五、财富管理行业底层：标的资产</w:t>
      </w:r>
    </w:p>
    <w:p w14:paraId="2A57EA21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2019年开始的资本市场深化改革有效提升了A股市场投资价值，为机构投资时代奠定了基础。一是试点注册制以来，一大批优质企业登陆资本市场，与此配套的退市制度常态化也已提上日程，2019与2020年A</w:t>
      </w:r>
      <w:proofErr w:type="gramStart"/>
      <w:r w:rsidRPr="005377F1">
        <w:rPr>
          <w:rFonts w:cs="Helvetica"/>
          <w:color w:val="000000"/>
        </w:rPr>
        <w:t>股退市</w:t>
      </w:r>
      <w:proofErr w:type="gramEnd"/>
      <w:r w:rsidRPr="005377F1">
        <w:rPr>
          <w:rFonts w:cs="Helvetica"/>
          <w:color w:val="000000"/>
        </w:rPr>
        <w:t>企业数量分别为12家和19家，这为财富管理提供了丰富的底层资产。二是新《证券法》的实施，对市场主体行为的监管更为严格，市场环境得到了有效净化。因此，基于基本面研究判断企业价值的机构投资者全面崛起。</w:t>
      </w:r>
    </w:p>
    <w:p w14:paraId="09BDC9C9" w14:textId="77777777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2011-2020年A</w:t>
      </w:r>
      <w:proofErr w:type="gramStart"/>
      <w:r w:rsidRPr="005377F1">
        <w:rPr>
          <w:rFonts w:cs="Helvetica"/>
          <w:color w:val="000000"/>
        </w:rPr>
        <w:t>股退市</w:t>
      </w:r>
      <w:proofErr w:type="gramEnd"/>
      <w:r w:rsidRPr="005377F1">
        <w:rPr>
          <w:rFonts w:cs="Helvetica"/>
          <w:color w:val="000000"/>
        </w:rPr>
        <w:t>公司数量统计情况</w:t>
      </w:r>
    </w:p>
    <w:p w14:paraId="50F2D6AC" w14:textId="02E82C76" w:rsidR="005377F1" w:rsidRPr="005377F1" w:rsidRDefault="005377F1" w:rsidP="005377F1">
      <w:pPr>
        <w:pStyle w:val="a3"/>
        <w:spacing w:before="0" w:beforeAutospacing="0" w:after="180" w:afterAutospacing="0" w:line="360" w:lineRule="auto"/>
        <w:jc w:val="center"/>
        <w:rPr>
          <w:rFonts w:cs="Helvetica"/>
          <w:color w:val="000000"/>
        </w:rPr>
      </w:pPr>
      <w:r w:rsidRPr="005377F1">
        <w:rPr>
          <w:rFonts w:cs="Helvetica"/>
          <w:noProof/>
          <w:color w:val="000000"/>
        </w:rPr>
        <w:drawing>
          <wp:inline distT="0" distB="0" distL="0" distR="0" wp14:anchorId="3FDF4F53" wp14:editId="7CC09384">
            <wp:extent cx="5095875" cy="3190875"/>
            <wp:effectExtent l="0" t="0" r="9525" b="9525"/>
            <wp:docPr id="721617049" name="图片 995" descr="2011-2020年A股退市公司数量统计情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0" descr="2011-2020年A股退市公司数量统计情况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2563C" w14:textId="77777777" w:rsidR="005377F1" w:rsidRPr="005377F1" w:rsidRDefault="005377F1" w:rsidP="005377F1">
      <w:pPr>
        <w:pStyle w:val="source-from"/>
        <w:spacing w:before="0" w:beforeAutospacing="0" w:after="180" w:afterAutospacing="0" w:line="360" w:lineRule="auto"/>
        <w:jc w:val="right"/>
        <w:rPr>
          <w:rFonts w:cs="Helvetica"/>
          <w:color w:val="000000"/>
        </w:rPr>
      </w:pPr>
      <w:r w:rsidRPr="005377F1">
        <w:rPr>
          <w:rFonts w:cs="Helvetica"/>
          <w:color w:val="000000"/>
        </w:rPr>
        <w:t>资料来源：中国证监会，华经产业研究院整理</w:t>
      </w:r>
    </w:p>
    <w:p w14:paraId="37445DC3" w14:textId="30EDF584" w:rsidR="00A34049" w:rsidRPr="005377F1" w:rsidRDefault="005377F1" w:rsidP="005377F1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F0A617" wp14:editId="419FE4DE">
            <wp:extent cx="5274310" cy="2931795"/>
            <wp:effectExtent l="0" t="0" r="2540" b="1905"/>
            <wp:docPr id="2036996168" name="图片 1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996168" name="图片 1" descr="日程表&#10;&#10;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99BAB" w14:textId="2BDA4C50" w:rsidR="005377F1" w:rsidRPr="005377F1" w:rsidRDefault="005377F1" w:rsidP="005377F1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E15D68">
        <w:rPr>
          <w:noProof/>
          <w:color w:val="222222"/>
        </w:rPr>
        <mc:AlternateContent>
          <mc:Choice Requires="wps">
            <w:drawing>
              <wp:inline distT="0" distB="0" distL="0" distR="0" wp14:anchorId="70AE6915" wp14:editId="6E024A87">
                <wp:extent cx="5248275" cy="1404620"/>
                <wp:effectExtent l="0" t="0" r="9525" b="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1404620"/>
                        </a:xfrm>
                        <a:prstGeom prst="rect">
                          <a:avLst/>
                        </a:prstGeom>
                        <a:solidFill>
                          <a:srgbClr val="EDF1F9">
                            <a:alpha val="6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D0C26" w14:textId="77777777" w:rsidR="005377F1" w:rsidRDefault="005377F1" w:rsidP="005377F1"/>
                          <w:p w14:paraId="3FE7FF06" w14:textId="7F1B1F27" w:rsidR="005377F1" w:rsidRPr="00E15D68" w:rsidRDefault="005377F1" w:rsidP="005377F1">
                            <w:pPr>
                              <w:pStyle w:val="aa"/>
                              <w:ind w:firstLine="482"/>
                            </w:pPr>
                            <w:r w:rsidRPr="00E83F5E">
                              <w:rPr>
                                <w:rFonts w:hint="eastAsia"/>
                                <w:b/>
                                <w:bCs/>
                              </w:rPr>
                              <w:t>华经产业研究院</w:t>
                            </w:r>
                            <w:r w:rsidRPr="00E83F5E">
                              <w:rPr>
                                <w:rFonts w:hint="eastAsia"/>
                              </w:rPr>
                              <w:t>研究团队使用桌面研究与定量调查、定性分析相结合的方式，全面客观的剖析</w:t>
                            </w:r>
                            <w:r>
                              <w:rPr>
                                <w:rFonts w:ascii="Helvetica" w:hAnsi="Helvetica" w:hint="eastAsia"/>
                                <w:b/>
                                <w:bCs/>
                              </w:rPr>
                              <w:t>财富管理</w:t>
                            </w:r>
                            <w:r w:rsidRPr="00E83F5E">
                              <w:rPr>
                                <w:rFonts w:hint="eastAsia"/>
                              </w:rPr>
                              <w:t>行业发展的总体市场容量、产业链、竞争格局、经营特性、盈利能力和商业模式等。科学使用</w:t>
                            </w:r>
                            <w:r w:rsidRPr="00E83F5E">
                              <w:rPr>
                                <w:rFonts w:ascii="Helvetica" w:hAnsi="Helvetica"/>
                              </w:rPr>
                              <w:t>SCP</w:t>
                            </w:r>
                            <w:r w:rsidRPr="00E83F5E">
                              <w:rPr>
                                <w:rFonts w:hint="eastAsia"/>
                              </w:rPr>
                              <w:t>模型、</w:t>
                            </w:r>
                            <w:r w:rsidRPr="00E83F5E">
                              <w:rPr>
                                <w:rFonts w:ascii="Helvetica" w:hAnsi="Helvetica"/>
                              </w:rPr>
                              <w:t>SWOT</w:t>
                            </w:r>
                            <w:r w:rsidRPr="00E83F5E">
                              <w:rPr>
                                <w:rFonts w:hint="eastAsia"/>
                              </w:rPr>
                              <w:t>、</w:t>
                            </w:r>
                            <w:r w:rsidRPr="00E83F5E">
                              <w:rPr>
                                <w:rFonts w:ascii="Helvetica" w:hAnsi="Helvetica"/>
                              </w:rPr>
                              <w:t>PEST</w:t>
                            </w:r>
                            <w:r w:rsidRPr="00E83F5E">
                              <w:rPr>
                                <w:rFonts w:hint="eastAsia"/>
                              </w:rPr>
                              <w:t>、回归分析、</w:t>
                            </w:r>
                            <w:r w:rsidRPr="00E83F5E">
                              <w:rPr>
                                <w:rFonts w:ascii="Helvetica" w:hAnsi="Helvetica"/>
                              </w:rPr>
                              <w:t>SPACE</w:t>
                            </w:r>
                            <w:r w:rsidRPr="00E83F5E">
                              <w:rPr>
                                <w:rFonts w:hint="eastAsia"/>
                              </w:rPr>
                              <w:t>矩阵等研究模型与方法综合分析</w:t>
                            </w:r>
                            <w:r>
                              <w:rPr>
                                <w:rFonts w:ascii="Helvetica" w:hAnsi="Helvetica" w:hint="eastAsia"/>
                                <w:b/>
                                <w:bCs/>
                              </w:rPr>
                              <w:t>财富管理</w:t>
                            </w:r>
                            <w:r w:rsidRPr="00E83F5E">
                              <w:rPr>
                                <w:rFonts w:hint="eastAsia"/>
                              </w:rPr>
                              <w:t>行业市场环境、产业政策、竞争格局、技术革新、市场风险、行业壁垒、机遇以及挑战等相关因素。根据</w:t>
                            </w:r>
                            <w:r>
                              <w:rPr>
                                <w:rFonts w:ascii="Helvetica" w:hAnsi="Helvetica" w:hint="eastAsia"/>
                                <w:b/>
                                <w:bCs/>
                              </w:rPr>
                              <w:t>财富管理</w:t>
                            </w:r>
                            <w:r w:rsidRPr="00E83F5E">
                              <w:rPr>
                                <w:rFonts w:hint="eastAsia"/>
                              </w:rPr>
                              <w:t>行业的发展轨迹及实践经验，精心研究编制《</w:t>
                            </w:r>
                            <w:r w:rsidRPr="005377F1">
                              <w:rPr>
                                <w:rFonts w:ascii="Helvetica" w:hAnsi="Helvetica"/>
                                <w:b/>
                                <w:bCs/>
                              </w:rPr>
                              <w:t>2023-2028</w:t>
                            </w:r>
                            <w:r w:rsidRPr="005377F1">
                              <w:rPr>
                                <w:rFonts w:ascii="Helvetica" w:hAnsi="Helvetica"/>
                                <w:b/>
                                <w:bCs/>
                              </w:rPr>
                              <w:t>年中国财富管理行业市场深度分析及投资战略研究报告</w:t>
                            </w:r>
                            <w:r w:rsidRPr="00E83F5E">
                              <w:rPr>
                                <w:rFonts w:hint="eastAsia"/>
                              </w:rPr>
                              <w:t>》，为</w:t>
                            </w:r>
                            <w:r w:rsidRPr="00E83F5E">
                              <w:rPr>
                                <w:rFonts w:hint="eastAsia"/>
                                <w:b/>
                                <w:bCs/>
                              </w:rPr>
                              <w:t>企业、科研、投资机构</w:t>
                            </w:r>
                            <w:r w:rsidRPr="00E83F5E">
                              <w:rPr>
                                <w:rFonts w:hint="eastAsia"/>
                              </w:rPr>
                              <w:t>等单位</w:t>
                            </w:r>
                            <w:r w:rsidRPr="00E83F5E">
                              <w:rPr>
                                <w:rFonts w:hint="eastAsia"/>
                                <w:b/>
                                <w:bCs/>
                              </w:rPr>
                              <w:t>投资决策、战略规划、产业研究</w:t>
                            </w:r>
                            <w:r w:rsidRPr="00E83F5E">
                              <w:rPr>
                                <w:rFonts w:hint="eastAsia"/>
                              </w:rPr>
                              <w:t>提供重要参考。</w:t>
                            </w:r>
                          </w:p>
                          <w:p w14:paraId="422F4E44" w14:textId="77777777" w:rsidR="005377F1" w:rsidRPr="00E15D68" w:rsidRDefault="005377F1" w:rsidP="005377F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0AE6915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413.2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" fillcolor="#edf1f9" stroked="f">
                <v:fill opacity="39321f"/>
                <v:textbox style="mso-fit-shape-to-text:t">
                  <w:txbxContent>
                    <w:p w14:paraId="4C9D0C26" w14:textId="77777777" w:rsidR="005377F1" w:rsidRDefault="005377F1" w:rsidP="005377F1"/>
                    <w:p w14:paraId="3FE7FF06" w14:textId="7F1B1F27" w:rsidR="005377F1" w:rsidRPr="00E15D68" w:rsidRDefault="005377F1" w:rsidP="005377F1">
                      <w:pPr>
                        <w:pStyle w:val="aa"/>
                        <w:ind w:firstLine="482"/>
                      </w:pPr>
                      <w:r w:rsidRPr="00E83F5E">
                        <w:rPr>
                          <w:rFonts w:hint="eastAsia"/>
                          <w:b/>
                          <w:bCs/>
                        </w:rPr>
                        <w:t>华经产业研究院</w:t>
                      </w:r>
                      <w:r w:rsidRPr="00E83F5E">
                        <w:rPr>
                          <w:rFonts w:hint="eastAsia"/>
                        </w:rPr>
                        <w:t>研究团队使用桌面研究与定量调查、定性分析相结合的方式，全面客观的剖析</w:t>
                      </w:r>
                      <w:r>
                        <w:rPr>
                          <w:rFonts w:ascii="Helvetica" w:hAnsi="Helvetica" w:hint="eastAsia"/>
                          <w:b/>
                          <w:bCs/>
                        </w:rPr>
                        <w:t>财富管理</w:t>
                      </w:r>
                      <w:r w:rsidRPr="00E83F5E">
                        <w:rPr>
                          <w:rFonts w:hint="eastAsia"/>
                        </w:rPr>
                        <w:t>行业发展的总体市场容量、产业链、竞争格局、经营特性、盈利能力和商业模式等。科学使用</w:t>
                      </w:r>
                      <w:r w:rsidRPr="00E83F5E">
                        <w:rPr>
                          <w:rFonts w:ascii="Helvetica" w:hAnsi="Helvetica"/>
                        </w:rPr>
                        <w:t>SCP</w:t>
                      </w:r>
                      <w:r w:rsidRPr="00E83F5E">
                        <w:rPr>
                          <w:rFonts w:hint="eastAsia"/>
                        </w:rPr>
                        <w:t>模型、</w:t>
                      </w:r>
                      <w:r w:rsidRPr="00E83F5E">
                        <w:rPr>
                          <w:rFonts w:ascii="Helvetica" w:hAnsi="Helvetica"/>
                        </w:rPr>
                        <w:t>SWOT</w:t>
                      </w:r>
                      <w:r w:rsidRPr="00E83F5E">
                        <w:rPr>
                          <w:rFonts w:hint="eastAsia"/>
                        </w:rPr>
                        <w:t>、</w:t>
                      </w:r>
                      <w:r w:rsidRPr="00E83F5E">
                        <w:rPr>
                          <w:rFonts w:ascii="Helvetica" w:hAnsi="Helvetica"/>
                        </w:rPr>
                        <w:t>PEST</w:t>
                      </w:r>
                      <w:r w:rsidRPr="00E83F5E">
                        <w:rPr>
                          <w:rFonts w:hint="eastAsia"/>
                        </w:rPr>
                        <w:t>、回归分析、</w:t>
                      </w:r>
                      <w:r w:rsidRPr="00E83F5E">
                        <w:rPr>
                          <w:rFonts w:ascii="Helvetica" w:hAnsi="Helvetica"/>
                        </w:rPr>
                        <w:t>SPACE</w:t>
                      </w:r>
                      <w:r w:rsidRPr="00E83F5E">
                        <w:rPr>
                          <w:rFonts w:hint="eastAsia"/>
                        </w:rPr>
                        <w:t>矩阵等研究模型与方法综合分析</w:t>
                      </w:r>
                      <w:r>
                        <w:rPr>
                          <w:rFonts w:ascii="Helvetica" w:hAnsi="Helvetica" w:hint="eastAsia"/>
                          <w:b/>
                          <w:bCs/>
                        </w:rPr>
                        <w:t>财富管理</w:t>
                      </w:r>
                      <w:r w:rsidRPr="00E83F5E">
                        <w:rPr>
                          <w:rFonts w:hint="eastAsia"/>
                        </w:rPr>
                        <w:t>行业市场环境、产业政策、竞争格局、技术革新、市场风险、行业壁垒、机遇以及挑战等相关因素。根据</w:t>
                      </w:r>
                      <w:r>
                        <w:rPr>
                          <w:rFonts w:ascii="Helvetica" w:hAnsi="Helvetica" w:hint="eastAsia"/>
                          <w:b/>
                          <w:bCs/>
                        </w:rPr>
                        <w:t>财富管理</w:t>
                      </w:r>
                      <w:r w:rsidRPr="00E83F5E">
                        <w:rPr>
                          <w:rFonts w:hint="eastAsia"/>
                        </w:rPr>
                        <w:t>行业的发展轨迹及实践经验，精心研究编制《</w:t>
                      </w:r>
                      <w:r w:rsidRPr="005377F1">
                        <w:rPr>
                          <w:rFonts w:ascii="Helvetica" w:hAnsi="Helvetica"/>
                          <w:b/>
                          <w:bCs/>
                        </w:rPr>
                        <w:t>2023-2028</w:t>
                      </w:r>
                      <w:r w:rsidRPr="005377F1">
                        <w:rPr>
                          <w:rFonts w:ascii="Helvetica" w:hAnsi="Helvetica"/>
                          <w:b/>
                          <w:bCs/>
                        </w:rPr>
                        <w:t>年中国财富管理行业市场深度分析及投资战略研究报告</w:t>
                      </w:r>
                      <w:r w:rsidRPr="00E83F5E">
                        <w:rPr>
                          <w:rFonts w:hint="eastAsia"/>
                        </w:rPr>
                        <w:t>》，为</w:t>
                      </w:r>
                      <w:r w:rsidRPr="00E83F5E">
                        <w:rPr>
                          <w:rFonts w:hint="eastAsia"/>
                          <w:b/>
                          <w:bCs/>
                        </w:rPr>
                        <w:t>企业、科研、投资机构</w:t>
                      </w:r>
                      <w:r w:rsidRPr="00E83F5E">
                        <w:rPr>
                          <w:rFonts w:hint="eastAsia"/>
                        </w:rPr>
                        <w:t>等单位</w:t>
                      </w:r>
                      <w:r w:rsidRPr="00E83F5E">
                        <w:rPr>
                          <w:rFonts w:hint="eastAsia"/>
                          <w:b/>
                          <w:bCs/>
                        </w:rPr>
                        <w:t>投资决策、战略规划、产业研究</w:t>
                      </w:r>
                      <w:r w:rsidRPr="00E83F5E">
                        <w:rPr>
                          <w:rFonts w:hint="eastAsia"/>
                        </w:rPr>
                        <w:t>提供重要参考。</w:t>
                      </w:r>
                    </w:p>
                    <w:p w14:paraId="422F4E44" w14:textId="77777777" w:rsidR="005377F1" w:rsidRPr="00E15D68" w:rsidRDefault="005377F1" w:rsidP="005377F1"/>
                  </w:txbxContent>
                </v:textbox>
                <w10:anchorlock/>
              </v:shape>
            </w:pict>
          </mc:Fallback>
        </mc:AlternateContent>
      </w:r>
    </w:p>
    <w:sectPr w:rsidR="005377F1" w:rsidRPr="005377F1" w:rsidSect="00FD0B5C">
      <w:headerReference w:type="default" r:id="rId19"/>
      <w:footerReference w:type="default" r:id="rId20"/>
      <w:pgSz w:w="11906" w:h="16838"/>
      <w:pgMar w:top="1440" w:right="1800" w:bottom="1440" w:left="1800" w:header="850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FB778" w14:textId="77777777" w:rsidR="00807158" w:rsidRDefault="00807158" w:rsidP="00733CE5">
      <w:r>
        <w:separator/>
      </w:r>
    </w:p>
  </w:endnote>
  <w:endnote w:type="continuationSeparator" w:id="0">
    <w:p w14:paraId="5E8E9EC8" w14:textId="77777777" w:rsidR="00807158" w:rsidRDefault="00807158" w:rsidP="00733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4D303" w14:textId="2087543A" w:rsidR="00E83F5E" w:rsidRPr="00D01AAA" w:rsidRDefault="001D4160">
    <w:pPr>
      <w:pStyle w:val="a8"/>
      <w:rPr>
        <w:b/>
        <w:bCs/>
        <w:color w:val="2264AB"/>
        <w:sz w:val="21"/>
        <w:szCs w:val="21"/>
      </w:rPr>
    </w:pPr>
    <w:r w:rsidRPr="00D01AAA">
      <w:rPr>
        <w:b/>
        <w:bCs/>
        <w:noProof/>
        <w:color w:val="3C5284"/>
        <w:sz w:val="21"/>
        <w:szCs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A63CC1" wp14:editId="2ED2962B">
              <wp:simplePos x="0" y="0"/>
              <wp:positionH relativeFrom="margin">
                <wp:align>left</wp:align>
              </wp:positionH>
              <wp:positionV relativeFrom="paragraph">
                <wp:posOffset>-57785</wp:posOffset>
              </wp:positionV>
              <wp:extent cx="5286375" cy="0"/>
              <wp:effectExtent l="0" t="0" r="0" b="0"/>
              <wp:wrapNone/>
              <wp:docPr id="349529637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86375" cy="0"/>
                      </a:xfrm>
                      <a:prstGeom prst="line">
                        <a:avLst/>
                      </a:prstGeom>
                      <a:ln>
                        <a:solidFill>
                          <a:srgbClr val="3C5284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D3EE363" id="直接连接符 3" o:spid="_x0000_s1026" style="position:absolute;left:0;text-align:lef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-4.55pt" to="416.25pt,-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" strokecolor="#3c5284" strokeweight=".5pt">
              <v:stroke joinstyle="miter"/>
              <w10:wrap anchorx="margin"/>
            </v:line>
          </w:pict>
        </mc:Fallback>
      </mc:AlternateContent>
    </w:r>
    <w:r w:rsidR="00E83F5E" w:rsidRPr="00D01AAA">
      <w:rPr>
        <w:b/>
        <w:bCs/>
        <w:color w:val="3C5284"/>
        <w:sz w:val="21"/>
        <w:szCs w:val="21"/>
      </w:rPr>
      <w:t>提供研究报告、商业计划书、可研报告及定制服务</w:t>
    </w:r>
    <w:r w:rsidR="00E83F5E" w:rsidRPr="00D01AAA">
      <w:rPr>
        <w:rFonts w:hint="eastAsia"/>
        <w:b/>
        <w:bCs/>
        <w:color w:val="3C5284"/>
        <w:sz w:val="21"/>
        <w:szCs w:val="21"/>
      </w:rPr>
      <w:t xml:space="preserve"> </w:t>
    </w:r>
    <w:r w:rsidR="00E83F5E" w:rsidRPr="00D01AAA">
      <w:rPr>
        <w:b/>
        <w:bCs/>
        <w:color w:val="3C5284"/>
        <w:sz w:val="21"/>
        <w:szCs w:val="21"/>
      </w:rPr>
      <w:t xml:space="preserve">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E8939" w14:textId="77777777" w:rsidR="00807158" w:rsidRDefault="00807158" w:rsidP="00733CE5">
      <w:r>
        <w:separator/>
      </w:r>
    </w:p>
  </w:footnote>
  <w:footnote w:type="continuationSeparator" w:id="0">
    <w:p w14:paraId="4103FE35" w14:textId="77777777" w:rsidR="00807158" w:rsidRDefault="00807158" w:rsidP="00733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72FCA" w14:textId="4CD68616" w:rsidR="00E83F5E" w:rsidRPr="00D01AAA" w:rsidRDefault="00FD5206" w:rsidP="00BB579E">
    <w:pPr>
      <w:pStyle w:val="a6"/>
      <w:rPr>
        <w:b/>
        <w:bCs/>
        <w:color w:val="445E95"/>
        <w:sz w:val="21"/>
        <w:szCs w:val="21"/>
      </w:rPr>
    </w:pPr>
    <w:r>
      <w:rPr>
        <w:noProof/>
        <w:sz w:val="21"/>
        <w:szCs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FDC452" wp14:editId="44E1DE76">
              <wp:simplePos x="0" y="0"/>
              <wp:positionH relativeFrom="margin">
                <wp:align>center</wp:align>
              </wp:positionH>
              <wp:positionV relativeFrom="paragraph">
                <wp:posOffset>226060</wp:posOffset>
              </wp:positionV>
              <wp:extent cx="5286375" cy="0"/>
              <wp:effectExtent l="0" t="0" r="0" b="0"/>
              <wp:wrapNone/>
              <wp:docPr id="664267021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86375" cy="0"/>
                      </a:xfrm>
                      <a:prstGeom prst="line">
                        <a:avLst/>
                      </a:prstGeom>
                      <a:ln>
                        <a:solidFill>
                          <a:srgbClr val="445E9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D47474" id="直接连接符 3" o:spid="_x0000_s1026" style="position:absolute;left:0;text-align:lef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7.8pt" to="416.2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" strokecolor="#445e95" strokeweight=".5pt">
              <v:stroke joinstyle="miter"/>
              <w10:wrap anchorx="margin"/>
            </v:line>
          </w:pict>
        </mc:Fallback>
      </mc:AlternateContent>
    </w:r>
    <w:r w:rsidR="00E83F5E" w:rsidRPr="00E83F5E">
      <w:rPr>
        <w:noProof/>
        <w:sz w:val="21"/>
        <w:szCs w:val="21"/>
      </w:rPr>
      <w:drawing>
        <wp:anchor distT="0" distB="0" distL="114300" distR="114300" simplePos="0" relativeHeight="251658240" behindDoc="0" locked="0" layoutInCell="1" allowOverlap="1" wp14:anchorId="5B180BDE" wp14:editId="5CE2E18B">
          <wp:simplePos x="0" y="0"/>
          <wp:positionH relativeFrom="margin">
            <wp:align>left</wp:align>
          </wp:positionH>
          <wp:positionV relativeFrom="paragraph">
            <wp:posOffset>-41597</wp:posOffset>
          </wp:positionV>
          <wp:extent cx="800100" cy="218761"/>
          <wp:effectExtent l="0" t="0" r="0" b="0"/>
          <wp:wrapNone/>
          <wp:docPr id="751194124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194124" name="图片 751194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100" cy="2187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83F5E">
      <w:rPr>
        <w:rFonts w:hint="eastAsia"/>
        <w:sz w:val="21"/>
        <w:szCs w:val="21"/>
      </w:rPr>
      <w:t xml:space="preserve"> </w:t>
    </w:r>
    <w:r w:rsidR="00E83F5E">
      <w:rPr>
        <w:sz w:val="21"/>
        <w:szCs w:val="21"/>
      </w:rPr>
      <w:t xml:space="preserve">                                                       </w:t>
    </w:r>
    <w:r w:rsidR="00E83F5E" w:rsidRPr="00E83F5E">
      <w:rPr>
        <w:color w:val="2264AB"/>
        <w:sz w:val="21"/>
        <w:szCs w:val="21"/>
      </w:rPr>
      <w:t xml:space="preserve"> </w:t>
    </w:r>
    <w:r w:rsidR="00E83F5E" w:rsidRPr="00D01AAA">
      <w:rPr>
        <w:b/>
        <w:bCs/>
        <w:color w:val="445E95"/>
        <w:sz w:val="21"/>
        <w:szCs w:val="21"/>
      </w:rPr>
      <w:t>严谨专业</w:t>
    </w:r>
    <w:r w:rsidR="00E83F5E" w:rsidRPr="00D01AAA">
      <w:rPr>
        <w:rFonts w:hint="eastAsia"/>
        <w:b/>
        <w:bCs/>
        <w:color w:val="445E95"/>
        <w:sz w:val="21"/>
        <w:szCs w:val="21"/>
      </w:rPr>
      <w:t xml:space="preserve"> •• </w:t>
    </w:r>
    <w:r w:rsidR="00E83F5E" w:rsidRPr="00D01AAA">
      <w:rPr>
        <w:b/>
        <w:bCs/>
        <w:color w:val="445E95"/>
        <w:sz w:val="21"/>
        <w:szCs w:val="21"/>
      </w:rPr>
      <w:t>客观科学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339"/>
    <w:rsid w:val="000213E6"/>
    <w:rsid w:val="00053125"/>
    <w:rsid w:val="00081CAA"/>
    <w:rsid w:val="000869E2"/>
    <w:rsid w:val="000871DB"/>
    <w:rsid w:val="00095974"/>
    <w:rsid w:val="00097DB8"/>
    <w:rsid w:val="000B4F6C"/>
    <w:rsid w:val="000D5B37"/>
    <w:rsid w:val="000F4002"/>
    <w:rsid w:val="000F7F8E"/>
    <w:rsid w:val="00124429"/>
    <w:rsid w:val="00125D6F"/>
    <w:rsid w:val="001638F8"/>
    <w:rsid w:val="00165E17"/>
    <w:rsid w:val="00184BF6"/>
    <w:rsid w:val="00184FAA"/>
    <w:rsid w:val="001869CF"/>
    <w:rsid w:val="00192EBF"/>
    <w:rsid w:val="001A1D21"/>
    <w:rsid w:val="001B68D3"/>
    <w:rsid w:val="001D4160"/>
    <w:rsid w:val="001E11DC"/>
    <w:rsid w:val="001F113D"/>
    <w:rsid w:val="00223290"/>
    <w:rsid w:val="00226838"/>
    <w:rsid w:val="00255AE9"/>
    <w:rsid w:val="00257342"/>
    <w:rsid w:val="002622F2"/>
    <w:rsid w:val="00266838"/>
    <w:rsid w:val="0029795B"/>
    <w:rsid w:val="002B29BA"/>
    <w:rsid w:val="002C2ED6"/>
    <w:rsid w:val="002C7C1B"/>
    <w:rsid w:val="002C7D2E"/>
    <w:rsid w:val="002D2EA3"/>
    <w:rsid w:val="002E7881"/>
    <w:rsid w:val="002F2D31"/>
    <w:rsid w:val="003059EC"/>
    <w:rsid w:val="00313D64"/>
    <w:rsid w:val="00315C18"/>
    <w:rsid w:val="00321FB3"/>
    <w:rsid w:val="00334AF9"/>
    <w:rsid w:val="00334E61"/>
    <w:rsid w:val="0033774C"/>
    <w:rsid w:val="0034267A"/>
    <w:rsid w:val="0036396D"/>
    <w:rsid w:val="003737F5"/>
    <w:rsid w:val="0038459A"/>
    <w:rsid w:val="003943E1"/>
    <w:rsid w:val="003A1C91"/>
    <w:rsid w:val="003B264A"/>
    <w:rsid w:val="003C18EE"/>
    <w:rsid w:val="003E3AC3"/>
    <w:rsid w:val="00410114"/>
    <w:rsid w:val="00412F0D"/>
    <w:rsid w:val="00430F43"/>
    <w:rsid w:val="00445F4A"/>
    <w:rsid w:val="00456C1C"/>
    <w:rsid w:val="00457BE4"/>
    <w:rsid w:val="0049157C"/>
    <w:rsid w:val="00492EF3"/>
    <w:rsid w:val="00494B32"/>
    <w:rsid w:val="004A6DF7"/>
    <w:rsid w:val="004B0A75"/>
    <w:rsid w:val="004C2D55"/>
    <w:rsid w:val="004C5A10"/>
    <w:rsid w:val="004C7709"/>
    <w:rsid w:val="004D3A3C"/>
    <w:rsid w:val="004F1240"/>
    <w:rsid w:val="004F4DA5"/>
    <w:rsid w:val="004F599A"/>
    <w:rsid w:val="00502D1C"/>
    <w:rsid w:val="00506A55"/>
    <w:rsid w:val="00512F93"/>
    <w:rsid w:val="005151AD"/>
    <w:rsid w:val="0051746A"/>
    <w:rsid w:val="005271CE"/>
    <w:rsid w:val="005355DD"/>
    <w:rsid w:val="005366B9"/>
    <w:rsid w:val="005377F1"/>
    <w:rsid w:val="00583A8F"/>
    <w:rsid w:val="00593E0A"/>
    <w:rsid w:val="005B0BCE"/>
    <w:rsid w:val="005C0E73"/>
    <w:rsid w:val="005D7ADA"/>
    <w:rsid w:val="005E7CB2"/>
    <w:rsid w:val="005F6BEE"/>
    <w:rsid w:val="0060304E"/>
    <w:rsid w:val="00604DA9"/>
    <w:rsid w:val="00642B43"/>
    <w:rsid w:val="00643BCB"/>
    <w:rsid w:val="00652514"/>
    <w:rsid w:val="006605A4"/>
    <w:rsid w:val="006959AA"/>
    <w:rsid w:val="006A5F1A"/>
    <w:rsid w:val="006B1023"/>
    <w:rsid w:val="006B1A10"/>
    <w:rsid w:val="006D0976"/>
    <w:rsid w:val="006D461F"/>
    <w:rsid w:val="006F370C"/>
    <w:rsid w:val="00710F4C"/>
    <w:rsid w:val="0071172E"/>
    <w:rsid w:val="00733CE5"/>
    <w:rsid w:val="00746855"/>
    <w:rsid w:val="00747B5F"/>
    <w:rsid w:val="007674F2"/>
    <w:rsid w:val="007716E3"/>
    <w:rsid w:val="00782EC1"/>
    <w:rsid w:val="007840CA"/>
    <w:rsid w:val="0079737E"/>
    <w:rsid w:val="007A30BC"/>
    <w:rsid w:val="00807158"/>
    <w:rsid w:val="008242F3"/>
    <w:rsid w:val="00832366"/>
    <w:rsid w:val="0083417B"/>
    <w:rsid w:val="008346D8"/>
    <w:rsid w:val="008410C5"/>
    <w:rsid w:val="00852BCB"/>
    <w:rsid w:val="00856541"/>
    <w:rsid w:val="00856EA9"/>
    <w:rsid w:val="00871123"/>
    <w:rsid w:val="0087370F"/>
    <w:rsid w:val="008C2D77"/>
    <w:rsid w:val="008C47C0"/>
    <w:rsid w:val="008C5E93"/>
    <w:rsid w:val="00905C86"/>
    <w:rsid w:val="00945A6F"/>
    <w:rsid w:val="00950364"/>
    <w:rsid w:val="00984ED4"/>
    <w:rsid w:val="009915FB"/>
    <w:rsid w:val="00995598"/>
    <w:rsid w:val="00995F73"/>
    <w:rsid w:val="009A4DA5"/>
    <w:rsid w:val="009B5E43"/>
    <w:rsid w:val="00A05725"/>
    <w:rsid w:val="00A064A4"/>
    <w:rsid w:val="00A12BEA"/>
    <w:rsid w:val="00A145CE"/>
    <w:rsid w:val="00A212FB"/>
    <w:rsid w:val="00A34049"/>
    <w:rsid w:val="00A4514D"/>
    <w:rsid w:val="00A53FA5"/>
    <w:rsid w:val="00A64E30"/>
    <w:rsid w:val="00A75BDE"/>
    <w:rsid w:val="00AB65E7"/>
    <w:rsid w:val="00AC1335"/>
    <w:rsid w:val="00AD1766"/>
    <w:rsid w:val="00AF3EA7"/>
    <w:rsid w:val="00B00B98"/>
    <w:rsid w:val="00B12D5E"/>
    <w:rsid w:val="00B21F55"/>
    <w:rsid w:val="00B255B9"/>
    <w:rsid w:val="00B2604F"/>
    <w:rsid w:val="00B454B6"/>
    <w:rsid w:val="00B55FAF"/>
    <w:rsid w:val="00B64566"/>
    <w:rsid w:val="00B71456"/>
    <w:rsid w:val="00B77994"/>
    <w:rsid w:val="00B94159"/>
    <w:rsid w:val="00B97485"/>
    <w:rsid w:val="00BA5CF0"/>
    <w:rsid w:val="00BB579E"/>
    <w:rsid w:val="00BC6021"/>
    <w:rsid w:val="00BE1B02"/>
    <w:rsid w:val="00BE763D"/>
    <w:rsid w:val="00BF647D"/>
    <w:rsid w:val="00C111F5"/>
    <w:rsid w:val="00C24985"/>
    <w:rsid w:val="00C34E10"/>
    <w:rsid w:val="00C449E0"/>
    <w:rsid w:val="00C455DE"/>
    <w:rsid w:val="00C46631"/>
    <w:rsid w:val="00C73DEC"/>
    <w:rsid w:val="00C760DC"/>
    <w:rsid w:val="00C959E5"/>
    <w:rsid w:val="00C970B6"/>
    <w:rsid w:val="00CA12C2"/>
    <w:rsid w:val="00CC35A3"/>
    <w:rsid w:val="00CD2C87"/>
    <w:rsid w:val="00CE4C01"/>
    <w:rsid w:val="00CE5C5A"/>
    <w:rsid w:val="00D01AAA"/>
    <w:rsid w:val="00D049F7"/>
    <w:rsid w:val="00D435AD"/>
    <w:rsid w:val="00D60FEC"/>
    <w:rsid w:val="00D80A28"/>
    <w:rsid w:val="00D81613"/>
    <w:rsid w:val="00DB1709"/>
    <w:rsid w:val="00DB4329"/>
    <w:rsid w:val="00DB6098"/>
    <w:rsid w:val="00DE681A"/>
    <w:rsid w:val="00E03120"/>
    <w:rsid w:val="00E11ECE"/>
    <w:rsid w:val="00E15D68"/>
    <w:rsid w:val="00E15EFA"/>
    <w:rsid w:val="00E44C31"/>
    <w:rsid w:val="00E577DA"/>
    <w:rsid w:val="00E625AE"/>
    <w:rsid w:val="00E655A4"/>
    <w:rsid w:val="00E71FC2"/>
    <w:rsid w:val="00E83F5E"/>
    <w:rsid w:val="00E8446A"/>
    <w:rsid w:val="00E91CAE"/>
    <w:rsid w:val="00E966F7"/>
    <w:rsid w:val="00EA2F50"/>
    <w:rsid w:val="00EA6E97"/>
    <w:rsid w:val="00EC5195"/>
    <w:rsid w:val="00EC749C"/>
    <w:rsid w:val="00ED3339"/>
    <w:rsid w:val="00EF0F31"/>
    <w:rsid w:val="00EF6CAD"/>
    <w:rsid w:val="00F0561C"/>
    <w:rsid w:val="00F16524"/>
    <w:rsid w:val="00F207C1"/>
    <w:rsid w:val="00F25F83"/>
    <w:rsid w:val="00F63024"/>
    <w:rsid w:val="00F71938"/>
    <w:rsid w:val="00F82A7D"/>
    <w:rsid w:val="00F9098A"/>
    <w:rsid w:val="00F9617A"/>
    <w:rsid w:val="00FA2C9E"/>
    <w:rsid w:val="00FA55F4"/>
    <w:rsid w:val="00FB3829"/>
    <w:rsid w:val="00FB48A1"/>
    <w:rsid w:val="00FC0C1D"/>
    <w:rsid w:val="00FD0B5C"/>
    <w:rsid w:val="00FD1D31"/>
    <w:rsid w:val="00FD5206"/>
    <w:rsid w:val="00FE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049F5E1"/>
  <w14:defaultImageDpi w14:val="32767"/>
  <w15:chartTrackingRefBased/>
  <w15:docId w15:val="{DBD0423C-F0A0-499C-A470-F7950DEE4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</w:style>
  <w:style w:type="paragraph" w:styleId="1">
    <w:name w:val="heading 1"/>
    <w:basedOn w:val="a"/>
    <w:link w:val="10"/>
    <w:uiPriority w:val="9"/>
    <w:rsid w:val="00733CE5"/>
    <w:pPr>
      <w:widowControl/>
      <w:spacing w:beforeLines="100" w:before="100" w:afterLines="100" w:after="100" w:line="400" w:lineRule="exact"/>
      <w:jc w:val="left"/>
      <w:outlineLvl w:val="0"/>
    </w:pPr>
    <w:rPr>
      <w:rFonts w:ascii="宋体" w:eastAsia="宋体" w:hAnsi="宋体" w:cs="宋体"/>
      <w:b/>
      <w:bCs/>
      <w:color w:val="000000" w:themeColor="text1"/>
      <w:kern w:val="36"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rsid w:val="00733CE5"/>
    <w:pPr>
      <w:spacing w:beforeLines="50" w:before="50" w:afterLines="50" w:after="50" w:line="400" w:lineRule="exact"/>
      <w:jc w:val="left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rsid w:val="00FD1D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CE5"/>
    <w:rPr>
      <w:rFonts w:ascii="宋体" w:eastAsia="宋体" w:hAnsi="宋体" w:cs="宋体"/>
      <w:b/>
      <w:bCs/>
      <w:color w:val="000000" w:themeColor="text1"/>
      <w:kern w:val="36"/>
      <w:sz w:val="32"/>
      <w:szCs w:val="48"/>
    </w:rPr>
  </w:style>
  <w:style w:type="character" w:customStyle="1" w:styleId="20">
    <w:name w:val="标题 2 字符"/>
    <w:basedOn w:val="a0"/>
    <w:link w:val="2"/>
    <w:uiPriority w:val="9"/>
    <w:rsid w:val="00733CE5"/>
    <w:rPr>
      <w:rFonts w:asciiTheme="majorHAnsi" w:eastAsiaTheme="majorEastAsia" w:hAnsiTheme="majorHAnsi" w:cstheme="majorBidi"/>
      <w:b/>
      <w:bCs/>
      <w:color w:val="000000" w:themeColor="text1"/>
      <w:sz w:val="28"/>
      <w:szCs w:val="32"/>
    </w:rPr>
  </w:style>
  <w:style w:type="paragraph" w:styleId="a3">
    <w:name w:val="Normal (Web)"/>
    <w:basedOn w:val="a"/>
    <w:uiPriority w:val="99"/>
    <w:unhideWhenUsed/>
    <w:rsid w:val="00642B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42B43"/>
    <w:rPr>
      <w:b/>
      <w:bCs/>
    </w:rPr>
  </w:style>
  <w:style w:type="character" w:styleId="a5">
    <w:name w:val="Hyperlink"/>
    <w:basedOn w:val="a0"/>
    <w:uiPriority w:val="99"/>
    <w:unhideWhenUsed/>
    <w:rsid w:val="00995598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733C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3CE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3C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3CE5"/>
    <w:rPr>
      <w:sz w:val="18"/>
      <w:szCs w:val="18"/>
    </w:rPr>
  </w:style>
  <w:style w:type="paragraph" w:customStyle="1" w:styleId="aa">
    <w:name w:val="正文样式"/>
    <w:basedOn w:val="a"/>
    <w:link w:val="ab"/>
    <w:qFormat/>
    <w:rsid w:val="00E83F5E"/>
    <w:pPr>
      <w:widowControl/>
      <w:spacing w:line="360" w:lineRule="auto"/>
      <w:ind w:firstLineChars="200" w:firstLine="200"/>
    </w:pPr>
    <w:rPr>
      <w:rFonts w:ascii="微软雅黑" w:eastAsia="宋体" w:hAnsi="微软雅黑" w:cs="宋体"/>
      <w:kern w:val="0"/>
      <w:sz w:val="24"/>
      <w:szCs w:val="27"/>
      <w:bdr w:val="none" w:sz="0" w:space="0" w:color="auto" w:frame="1"/>
    </w:rPr>
  </w:style>
  <w:style w:type="character" w:customStyle="1" w:styleId="ab">
    <w:name w:val="正文样式 字符"/>
    <w:basedOn w:val="a0"/>
    <w:link w:val="aa"/>
    <w:rsid w:val="00E83F5E"/>
    <w:rPr>
      <w:rFonts w:ascii="微软雅黑" w:eastAsia="宋体" w:hAnsi="微软雅黑" w:cs="宋体"/>
      <w:kern w:val="0"/>
      <w:sz w:val="24"/>
      <w:szCs w:val="27"/>
      <w:bdr w:val="none" w:sz="0" w:space="0" w:color="auto" w:frame="1"/>
    </w:rPr>
  </w:style>
  <w:style w:type="paragraph" w:customStyle="1" w:styleId="ac">
    <w:name w:val="图表标题"/>
    <w:basedOn w:val="aa"/>
    <w:link w:val="ad"/>
    <w:rsid w:val="00733CE5"/>
    <w:pPr>
      <w:spacing w:beforeLines="50" w:before="50" w:line="240" w:lineRule="auto"/>
      <w:ind w:firstLineChars="0" w:firstLine="0"/>
      <w:jc w:val="center"/>
    </w:pPr>
  </w:style>
  <w:style w:type="character" w:customStyle="1" w:styleId="ad">
    <w:name w:val="图表标题 字符"/>
    <w:basedOn w:val="ab"/>
    <w:link w:val="ac"/>
    <w:rsid w:val="00733CE5"/>
    <w:rPr>
      <w:rFonts w:ascii="微软雅黑" w:eastAsia="宋体" w:hAnsi="微软雅黑" w:cs="宋体"/>
      <w:kern w:val="0"/>
      <w:sz w:val="24"/>
      <w:szCs w:val="27"/>
      <w:bdr w:val="none" w:sz="0" w:space="0" w:color="auto" w:frame="1"/>
    </w:rPr>
  </w:style>
  <w:style w:type="paragraph" w:customStyle="1" w:styleId="ae">
    <w:name w:val="资料来源"/>
    <w:basedOn w:val="a"/>
    <w:link w:val="af"/>
    <w:qFormat/>
    <w:rsid w:val="00733CE5"/>
    <w:pPr>
      <w:widowControl/>
      <w:shd w:val="clear" w:color="auto" w:fill="FFFFFF"/>
      <w:spacing w:afterLines="50" w:after="50"/>
      <w:jc w:val="right"/>
    </w:pPr>
    <w:rPr>
      <w:rFonts w:ascii="微软雅黑" w:hAnsi="微软雅黑" w:cs="宋体"/>
      <w:color w:val="595959" w:themeColor="text1" w:themeTint="A6"/>
      <w:kern w:val="0"/>
      <w:szCs w:val="27"/>
      <w:bdr w:val="none" w:sz="0" w:space="0" w:color="auto" w:frame="1"/>
    </w:rPr>
  </w:style>
  <w:style w:type="character" w:customStyle="1" w:styleId="af">
    <w:name w:val="资料来源 字符"/>
    <w:basedOn w:val="a0"/>
    <w:link w:val="ae"/>
    <w:rsid w:val="00733CE5"/>
    <w:rPr>
      <w:rFonts w:ascii="微软雅黑" w:hAnsi="微软雅黑" w:cs="宋体"/>
      <w:color w:val="595959" w:themeColor="text1" w:themeTint="A6"/>
      <w:kern w:val="0"/>
      <w:szCs w:val="27"/>
      <w:bdr w:val="none" w:sz="0" w:space="0" w:color="auto" w:frame="1"/>
      <w:shd w:val="clear" w:color="auto" w:fill="FFFFFF"/>
    </w:rPr>
  </w:style>
  <w:style w:type="paragraph" w:customStyle="1" w:styleId="af0">
    <w:name w:val="文库正文字体"/>
    <w:basedOn w:val="aa"/>
    <w:link w:val="af1"/>
    <w:qFormat/>
    <w:rsid w:val="00EC5195"/>
    <w:pPr>
      <w:ind w:firstLine="480"/>
    </w:pPr>
  </w:style>
  <w:style w:type="character" w:customStyle="1" w:styleId="af1">
    <w:name w:val="文库正文字体 字符"/>
    <w:basedOn w:val="ab"/>
    <w:link w:val="af0"/>
    <w:rsid w:val="00EC5195"/>
    <w:rPr>
      <w:rFonts w:ascii="微软雅黑" w:eastAsia="宋体" w:hAnsi="微软雅黑" w:cs="宋体"/>
      <w:kern w:val="0"/>
      <w:sz w:val="24"/>
      <w:szCs w:val="27"/>
      <w:bdr w:val="none" w:sz="0" w:space="0" w:color="auto" w:frame="1"/>
    </w:rPr>
  </w:style>
  <w:style w:type="paragraph" w:customStyle="1" w:styleId="af2">
    <w:name w:val="文章标题"/>
    <w:basedOn w:val="a"/>
    <w:link w:val="af3"/>
    <w:qFormat/>
    <w:rsid w:val="009B5E43"/>
    <w:pPr>
      <w:spacing w:beforeLines="100" w:before="312" w:afterLines="150" w:after="468"/>
      <w:jc w:val="center"/>
    </w:pPr>
    <w:rPr>
      <w:b/>
      <w:bCs/>
      <w:color w:val="3C5284"/>
      <w:sz w:val="36"/>
      <w:szCs w:val="36"/>
    </w:rPr>
  </w:style>
  <w:style w:type="character" w:customStyle="1" w:styleId="af3">
    <w:name w:val="文章标题 字符"/>
    <w:basedOn w:val="a0"/>
    <w:link w:val="af2"/>
    <w:rsid w:val="009B5E43"/>
    <w:rPr>
      <w:b/>
      <w:bCs/>
      <w:color w:val="3C5284"/>
      <w:sz w:val="36"/>
      <w:szCs w:val="36"/>
    </w:rPr>
  </w:style>
  <w:style w:type="paragraph" w:customStyle="1" w:styleId="af4">
    <w:name w:val="大标题"/>
    <w:basedOn w:val="1"/>
    <w:link w:val="af5"/>
    <w:qFormat/>
    <w:rsid w:val="009B5E43"/>
    <w:pPr>
      <w:spacing w:before="312" w:after="312"/>
    </w:pPr>
    <w:rPr>
      <w:bdr w:val="none" w:sz="0" w:space="0" w:color="auto" w:frame="1"/>
    </w:rPr>
  </w:style>
  <w:style w:type="character" w:customStyle="1" w:styleId="af5">
    <w:name w:val="大标题 字符"/>
    <w:basedOn w:val="10"/>
    <w:link w:val="af4"/>
    <w:rsid w:val="009B5E43"/>
    <w:rPr>
      <w:rFonts w:ascii="宋体" w:eastAsia="宋体" w:hAnsi="宋体" w:cs="宋体"/>
      <w:b/>
      <w:bCs/>
      <w:color w:val="000000" w:themeColor="text1"/>
      <w:kern w:val="36"/>
      <w:sz w:val="32"/>
      <w:szCs w:val="48"/>
      <w:bdr w:val="none" w:sz="0" w:space="0" w:color="auto" w:frame="1"/>
    </w:rPr>
  </w:style>
  <w:style w:type="paragraph" w:customStyle="1" w:styleId="af6">
    <w:name w:val="小标题"/>
    <w:basedOn w:val="2"/>
    <w:link w:val="af7"/>
    <w:qFormat/>
    <w:rsid w:val="009B5E43"/>
    <w:pPr>
      <w:spacing w:before="156" w:after="156"/>
    </w:pPr>
    <w:rPr>
      <w:bdr w:val="none" w:sz="0" w:space="0" w:color="auto" w:frame="1"/>
    </w:rPr>
  </w:style>
  <w:style w:type="character" w:customStyle="1" w:styleId="af7">
    <w:name w:val="小标题 字符"/>
    <w:basedOn w:val="20"/>
    <w:link w:val="af6"/>
    <w:rsid w:val="009B5E43"/>
    <w:rPr>
      <w:rFonts w:asciiTheme="majorHAnsi" w:eastAsiaTheme="majorEastAsia" w:hAnsiTheme="majorHAnsi" w:cstheme="majorBidi"/>
      <w:b/>
      <w:bCs/>
      <w:color w:val="000000" w:themeColor="text1"/>
      <w:sz w:val="28"/>
      <w:szCs w:val="32"/>
      <w:bdr w:val="none" w:sz="0" w:space="0" w:color="auto" w:frame="1"/>
    </w:rPr>
  </w:style>
  <w:style w:type="paragraph" w:customStyle="1" w:styleId="source-from">
    <w:name w:val="source-from"/>
    <w:basedOn w:val="a"/>
    <w:rsid w:val="00DB17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FD1D31"/>
    <w:rPr>
      <w:b/>
      <w:bCs/>
      <w:sz w:val="32"/>
      <w:szCs w:val="32"/>
    </w:rPr>
  </w:style>
  <w:style w:type="paragraph" w:customStyle="1" w:styleId="af8">
    <w:name w:val="全文"/>
    <w:link w:val="af9"/>
    <w:rsid w:val="002C7C1B"/>
    <w:pPr>
      <w:spacing w:line="360" w:lineRule="auto"/>
    </w:pPr>
    <w:rPr>
      <w:rFonts w:eastAsia="宋体"/>
      <w:bCs/>
      <w:color w:val="000000" w:themeColor="text1"/>
      <w:sz w:val="24"/>
      <w:szCs w:val="36"/>
    </w:rPr>
  </w:style>
  <w:style w:type="character" w:customStyle="1" w:styleId="af9">
    <w:name w:val="全文 字符"/>
    <w:basedOn w:val="a0"/>
    <w:link w:val="af8"/>
    <w:rsid w:val="002C7C1B"/>
    <w:rPr>
      <w:rFonts w:eastAsia="宋体"/>
      <w:bCs/>
      <w:color w:val="000000" w:themeColor="text1"/>
      <w:sz w:val="24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185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445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8049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3738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3050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563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9105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296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030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0673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7922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5006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0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6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5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C2199-C5CA-4896-96DC-D73555FFA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 陈</dc:creator>
  <cp:keywords/>
  <dc:description/>
  <cp:lastModifiedBy>语诗 王</cp:lastModifiedBy>
  <cp:revision>2</cp:revision>
  <cp:lastPrinted>2023-08-07T05:44:00Z</cp:lastPrinted>
  <dcterms:created xsi:type="dcterms:W3CDTF">2023-08-25T06:41:00Z</dcterms:created>
  <dcterms:modified xsi:type="dcterms:W3CDTF">2023-08-25T06:41:00Z</dcterms:modified>
</cp:coreProperties>
</file>