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5CD8C4">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5"/>
      <w:bookmarkStart w:id="1" w:name="OLE_LINK13"/>
      <w:bookmarkStart w:id="2" w:name="_Toc453597319"/>
      <w:bookmarkStart w:id="3" w:name="OLE_LINK40"/>
      <w:bookmarkStart w:id="4" w:name="OLE_LINK39"/>
      <w:bookmarkStart w:id="5" w:name="_Toc438987549"/>
      <w:bookmarkStart w:id="6" w:name="_Toc481801204"/>
      <w:bookmarkStart w:id="7" w:name="_Toc418070112"/>
      <w:bookmarkStart w:id="8" w:name="_Toc415818939"/>
      <w:bookmarkStart w:id="9" w:name="_Toc415143481"/>
      <w:bookmarkStart w:id="10" w:name="_Toc415142861"/>
      <w:bookmarkStart w:id="11" w:name="_Toc517262917"/>
      <w:bookmarkStart w:id="12" w:name="OLE_LINK24"/>
      <w:r>
        <w:drawing>
          <wp:anchor distT="0" distB="0" distL="114300" distR="114300" simplePos="0" relativeHeight="251666432" behindDoc="1" locked="0" layoutInCell="1" allowOverlap="1">
            <wp:simplePos x="0" y="0"/>
            <wp:positionH relativeFrom="column">
              <wp:posOffset>-3369310</wp:posOffset>
            </wp:positionH>
            <wp:positionV relativeFrom="paragraph">
              <wp:posOffset>-925830</wp:posOffset>
            </wp:positionV>
            <wp:extent cx="1030732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307320" cy="10689590"/>
                    </a:xfrm>
                    <a:prstGeom prst="rect">
                      <a:avLst/>
                    </a:prstGeom>
                  </pic:spPr>
                </pic:pic>
              </a:graphicData>
            </a:graphic>
          </wp:anchor>
        </w:drawing>
      </w:r>
      <w:bookmarkStart w:id="377" w:name="_GoBack"/>
      <w:bookmarkEnd w:id="377"/>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2024年欧洲固定功率电容器市场主要企业市场占有率及排名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2024年欧洲固定功率电容器市场主要企业市场占有率及排名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2024年欧洲固定功率电容器市场主要企业市场占有率及排名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固定功率电容器</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全球固定功率电容器主要厂商有ABB、Schneider Electric、Eaton、Nissin Electric、China XD等，全球前五大厂商共占有超过45%的市场份额。
目前中国是全球最大的固定功率电容器市场，占有超过30%的市场份额，之后是欧洲和美国市场，二者共占有超过35%的份额。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固定功率电容器行业市场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固定功率电容器</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固定功率电容器</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ABB</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Schneider Electric</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Eaton</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Nissin Electric</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China XD</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Siyuan</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Guilin Power Capacitor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Electronicon</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GE Grid Solutions</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Herong Electric</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New Northeast Electric</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TDK</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Vishay</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L&amp;T</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LIFASA</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Shreem Electric</w:t>
      </w:r>
    </w:p>
    <w:p w14:paraId="1F713BB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Frako</w:t>
      </w:r>
    </w:p>
    <w:p w14:paraId="560D9C79">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RTR</w:t>
      </w:r>
    </w:p>
    <w:p w14:paraId="6338AD7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ICAR</w:t>
      </w:r>
    </w:p>
    <w:p w14:paraId="106484F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DUCATI</w:t>
      </w:r>
    </w:p>
    <w:p w14:paraId="7B4D57B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ZEZ</w:t>
      </w:r>
    </w:p>
    <w:p w14:paraId="612BB1F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ACPES</w:t>
      </w:r>
    </w:p>
    <w:p w14:paraId="64585049">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CIRCUTOR</w:t>
      </w:r>
    </w:p>
    <w:p w14:paraId="2B0CF9C1">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COMAR</w:t>
      </w:r>
    </w:p>
    <w:p w14:paraId="2BD636E8">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Franke GMKP</w:t>
      </w:r>
    </w:p>
    <w:p w14:paraId="54053B4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AB Power System</w:t>
      </w:r>
    </w:p>
    <w:p w14:paraId="67C0A45B">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KBR</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固定功率电容器</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章：固定功率电容器</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固定功率电容器</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固定功率电容器</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固定功率电容器产品定义及统计范围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全球固定功率电容器市场销售金额规模（2019-2030）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全球固定功率电容器市场销量规模（2019-2030）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欧洲市场固定功率电容器销售金额规模及增长率（2019-2030）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欧洲市场固定功率电容器销量及增长率（2019-2030）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按国家划分，欧洲固定功率电容器销售金额份额（2019-2030）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按国家划分，欧洲固定功率电容器销量份额（2019-2030）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德国市场固定功率电容器收入规模及增长率（2019-2030）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德国市场固定功率电容器销量及增长率（2019-2030）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法国市场固定功率电容器收入规模及增长率（2019-2030）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法国市场固定功率电容器销量及增长率（2019-2030）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英国市场固定功率电容器收入规模及增长率（2019-2030）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英国市场固定功率电容器销量及增长率（2019-2030）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意大利市场固定功率电容器收入规模及增长率（2019-2030）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意大利市场固定功率电容器销量及增长率（2019-2030）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西班牙市场固定功率电容器收入规模及增长率（2019-2030）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西班牙市场固定功率电容器销量及增长率（2019-2030）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俄罗斯市场固定功率电容器收入规模及增长率（2019-2030）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俄罗斯市场固定功率电容器销量及增长率（2019-2030）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中东欧国家市场固定功率电容器收入规模及增长率（2019-2030）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中东欧国家市场固定功率电容器销量及增长率（2019-2030）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北欧市场固定功率电容器收入规模及增长率（2019-2030）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北欧市场固定功率电容器销量及增长率（2019-2030）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全球市场固定功率电容器竞争格局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全球市场固定功率电容器厂商份额（2023）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全球市场固定功率电容器竞争分析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主要厂商固定功率电容器总部及产地分布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主要厂商固定功率电容器产品类型及应用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欧洲市场固定功率电容器竞争格局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欧洲市场主要厂商固定功率电容器销量（2019-2024）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欧洲市场主要厂商固定功率电容器销量市场份额（2019-2024）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欧洲市场主要厂商固定功率电容器收入及市场占有率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欧洲市场主要厂商固定功率电容器收入（2019-2024）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欧洲市场主要厂商固定功率电容器收入市场份额（2019-2024）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欧洲市场主要厂商固定功率电容器价格（2019-2024）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固定功率电容器行业集中度、竞争程度分析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欧洲市场固定功率电容器市场机会分析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欧洲主要国家固定功率电容器厂商分析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ABB</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ABB基本信息、固定功率电容器生产基地、总部、竞争对手及市场地位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ABB 固定功率电容器产品规格、参数及市场应用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ABB公司简介及主要业务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ABB企业最新动态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Schneider Electric</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Schneider Electric基本信息、固定功率电容器生产基地、总部、竞争对手及市场地位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Schneider Electric 固定功率电容器产品规格、参数及市场应用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Schneider Electric公司简介及主要业务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Schneider Electric企业最新动态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Eaton</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Eaton基本信息、固定功率电容器生产基地、总部、竞争对手及市场地位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Eaton 固定功率电容器产品规格、参数及市场应用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Eaton公司简介及主要业务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Eaton企业最新动态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Nissin Electric</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China XD</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Siyuan</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Guilin Power Capacitor</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Electronicon</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GE Grid Solutions</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Herong Electric</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New Northeast Electric</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TDK</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Vishay</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L&amp;T</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LIFASA</w:t>
      </w:r>
      <w:r>
        <w:tab/>
      </w:r>
      <w:r>
        <w:fldChar w:fldCharType="begin"/>
      </w:r>
      <w:r>
        <w:instrText xml:space="preserve"> PAGEREF _Toc167094681 \h </w:instrText>
      </w:r>
      <w:r>
        <w:fldChar w:fldCharType="separate"/>
      </w:r>
      <w:r>
        <w:t>34</w:t>
      </w:r>
      <w:r>
        <w:fldChar w:fldCharType="end"/>
      </w:r>
      <w:r>
        <w:fldChar w:fldCharType="end"/>
      </w:r>
    </w:p>
    <w:p w14:paraId="1C1237C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"_Toc167094682" </w:instrText>
      </w:r>
      <w:r>
        <w:fldChar w:fldCharType="separate"/>
      </w:r>
      <w:r>
        <w:rPr>
          <w:rStyle w:val="67"/>
        </w:rPr>
        <w:t>4.16 Shreem Electric</w:t>
      </w:r>
      <w:r>
        <w:tab/>
      </w:r>
      <w:r>
        <w:fldChar w:fldCharType="begin"/>
      </w:r>
      <w:r>
        <w:instrText xml:space="preserve"> PAGEREF _Toc167094682 \h </w:instrText>
      </w:r>
      <w:r>
        <w:fldChar w:fldCharType="separate"/>
      </w:r>
      <w:r>
        <w:t>34</w:t>
      </w:r>
      <w:r>
        <w:fldChar w:fldCharType="end"/>
      </w:r>
      <w:r>
        <w:fldChar w:fldCharType="end"/>
      </w:r>
    </w:p>
    <w:p w14:paraId="01F1FF9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"_Toc167094683" </w:instrText>
      </w:r>
      <w:r>
        <w:fldChar w:fldCharType="separate"/>
      </w:r>
      <w:r>
        <w:rPr>
          <w:rStyle w:val="67"/>
        </w:rPr>
        <w:t>4.17 Frako</w:t>
      </w:r>
      <w:r>
        <w:tab/>
      </w:r>
      <w:r>
        <w:fldChar w:fldCharType="begin"/>
      </w:r>
      <w:r>
        <w:instrText xml:space="preserve"> PAGEREF _Toc167094683 \h </w:instrText>
      </w:r>
      <w:r>
        <w:fldChar w:fldCharType="separate"/>
      </w:r>
      <w:r>
        <w:t>34</w:t>
      </w:r>
      <w:r>
        <w:fldChar w:fldCharType="end"/>
      </w:r>
      <w:r>
        <w:fldChar w:fldCharType="end"/>
      </w:r>
    </w:p>
    <w:p w14:paraId="3BE736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"_Toc167094684" </w:instrText>
      </w:r>
      <w:r>
        <w:fldChar w:fldCharType="separate"/>
      </w:r>
      <w:r>
        <w:rPr>
          <w:rStyle w:val="67"/>
        </w:rPr>
        <w:t>4.18 RTR</w:t>
      </w:r>
      <w:r>
        <w:tab/>
      </w:r>
      <w:r>
        <w:fldChar w:fldCharType="begin"/>
      </w:r>
      <w:r>
        <w:instrText xml:space="preserve"> PAGEREF _Toc167094684 \h </w:instrText>
      </w:r>
      <w:r>
        <w:fldChar w:fldCharType="separate"/>
      </w:r>
      <w:r>
        <w:t>34</w:t>
      </w:r>
      <w:r>
        <w:fldChar w:fldCharType="end"/>
      </w:r>
      <w:r>
        <w:fldChar w:fldCharType="end"/>
      </w:r>
    </w:p>
    <w:p w14:paraId="3016F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"_Toc167094685" </w:instrText>
      </w:r>
      <w:r>
        <w:fldChar w:fldCharType="separate"/>
      </w:r>
      <w:r>
        <w:rPr>
          <w:rStyle w:val="67"/>
        </w:rPr>
        <w:t>4.19 ICAR</w:t>
      </w:r>
      <w:r>
        <w:tab/>
      </w:r>
      <w:r>
        <w:fldChar w:fldCharType="begin"/>
      </w:r>
      <w:r>
        <w:instrText xml:space="preserve"> PAGEREF _Toc167094685 \h </w:instrText>
      </w:r>
      <w:r>
        <w:fldChar w:fldCharType="separate"/>
      </w:r>
      <w:r>
        <w:t>34</w:t>
      </w:r>
      <w:r>
        <w:fldChar w:fldCharType="end"/>
      </w:r>
      <w:r>
        <w:fldChar w:fldCharType="end"/>
      </w:r>
    </w:p>
    <w:p w14:paraId="7CF6A0E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"_Toc167094686" </w:instrText>
      </w:r>
      <w:r>
        <w:fldChar w:fldCharType="separate"/>
      </w:r>
      <w:r>
        <w:rPr>
          <w:rStyle w:val="67"/>
        </w:rPr>
        <w:t>4.20 DUCATI</w:t>
      </w:r>
      <w:r>
        <w:tab/>
      </w:r>
      <w:r>
        <w:fldChar w:fldCharType="begin"/>
      </w:r>
      <w:r>
        <w:instrText xml:space="preserve"> PAGEREF _Toc167094686 \h </w:instrText>
      </w:r>
      <w:r>
        <w:fldChar w:fldCharType="separate"/>
      </w:r>
      <w:r>
        <w:t>34</w:t>
      </w:r>
      <w:r>
        <w:fldChar w:fldCharType="end"/>
      </w:r>
      <w:r>
        <w:fldChar w:fldCharType="end"/>
      </w:r>
    </w:p>
    <w:p w14:paraId="1C86CAA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"_Toc167094687" </w:instrText>
      </w:r>
      <w:r>
        <w:fldChar w:fldCharType="separate"/>
      </w:r>
      <w:r>
        <w:rPr>
          <w:rStyle w:val="67"/>
        </w:rPr>
        <w:t>4.21 ZEZ</w:t>
      </w:r>
      <w:r>
        <w:tab/>
      </w:r>
      <w:r>
        <w:fldChar w:fldCharType="begin"/>
      </w:r>
      <w:r>
        <w:instrText xml:space="preserve"> PAGEREF _Toc167094687 \h </w:instrText>
      </w:r>
      <w:r>
        <w:fldChar w:fldCharType="separate"/>
      </w:r>
      <w:r>
        <w:t>34</w:t>
      </w:r>
      <w:r>
        <w:fldChar w:fldCharType="end"/>
      </w:r>
      <w:r>
        <w:fldChar w:fldCharType="end"/>
      </w:r>
    </w:p>
    <w:p w14:paraId="7A1A414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"_Toc167094688" </w:instrText>
      </w:r>
      <w:r>
        <w:fldChar w:fldCharType="separate"/>
      </w:r>
      <w:r>
        <w:rPr>
          <w:rStyle w:val="67"/>
        </w:rPr>
        <w:t>4.22 ACPES</w:t>
      </w:r>
      <w:r>
        <w:tab/>
      </w:r>
      <w:r>
        <w:fldChar w:fldCharType="begin"/>
      </w:r>
      <w:r>
        <w:instrText xml:space="preserve"> PAGEREF _Toc167094688 \h </w:instrText>
      </w:r>
      <w:r>
        <w:fldChar w:fldCharType="separate"/>
      </w:r>
      <w:r>
        <w:t>35</w:t>
      </w:r>
      <w:r>
        <w:fldChar w:fldCharType="end"/>
      </w:r>
      <w:r>
        <w:fldChar w:fldCharType="end"/>
      </w:r>
    </w:p>
    <w:p w14:paraId="5C468F3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"_Toc167094689" </w:instrText>
      </w:r>
      <w:r>
        <w:fldChar w:fldCharType="separate"/>
      </w:r>
      <w:r>
        <w:rPr>
          <w:rStyle w:val="67"/>
        </w:rPr>
        <w:t>4.23 CIRCUTOR</w:t>
      </w:r>
      <w:r>
        <w:tab/>
      </w:r>
      <w:r>
        <w:fldChar w:fldCharType="begin"/>
      </w:r>
      <w:r>
        <w:instrText xml:space="preserve"> PAGEREF _Toc167094689 \h </w:instrText>
      </w:r>
      <w:r>
        <w:fldChar w:fldCharType="separate"/>
      </w:r>
      <w:r>
        <w:t>35</w:t>
      </w:r>
      <w:r>
        <w:fldChar w:fldCharType="end"/>
      </w:r>
      <w:r>
        <w:fldChar w:fldCharType="end"/>
      </w:r>
    </w:p>
    <w:p w14:paraId="19F01B5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"_Toc167094690" </w:instrText>
      </w:r>
      <w:r>
        <w:fldChar w:fldCharType="separate"/>
      </w:r>
      <w:r>
        <w:rPr>
          <w:rStyle w:val="67"/>
        </w:rPr>
        <w:t>4.24 COMAR</w:t>
      </w:r>
      <w:r>
        <w:tab/>
      </w:r>
      <w:r>
        <w:fldChar w:fldCharType="begin"/>
      </w:r>
      <w:r>
        <w:instrText xml:space="preserve"> PAGEREF _Toc167094690 \h </w:instrText>
      </w:r>
      <w:r>
        <w:fldChar w:fldCharType="separate"/>
      </w:r>
      <w:r>
        <w:t>35</w:t>
      </w:r>
      <w:r>
        <w:fldChar w:fldCharType="end"/>
      </w:r>
      <w:r>
        <w:fldChar w:fldCharType="end"/>
      </w:r>
    </w:p>
    <w:p w14:paraId="2B56094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"_Toc167094691" </w:instrText>
      </w:r>
      <w:r>
        <w:fldChar w:fldCharType="separate"/>
      </w:r>
      <w:r>
        <w:rPr>
          <w:rStyle w:val="67"/>
        </w:rPr>
        <w:t>4.25 Franke GMKP</w:t>
      </w:r>
      <w:r>
        <w:tab/>
      </w:r>
      <w:r>
        <w:fldChar w:fldCharType="begin"/>
      </w:r>
      <w:r>
        <w:instrText xml:space="preserve"> PAGEREF _Toc167094691 \h </w:instrText>
      </w:r>
      <w:r>
        <w:fldChar w:fldCharType="separate"/>
      </w:r>
      <w:r>
        <w:t>35</w:t>
      </w:r>
      <w:r>
        <w:fldChar w:fldCharType="end"/>
      </w:r>
      <w:r>
        <w:fldChar w:fldCharType="end"/>
      </w:r>
    </w:p>
    <w:p w14:paraId="1EAF1B3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"_Toc167094692" </w:instrText>
      </w:r>
      <w:r>
        <w:fldChar w:fldCharType="separate"/>
      </w:r>
      <w:r>
        <w:rPr>
          <w:rStyle w:val="67"/>
        </w:rPr>
        <w:t>4.26 AB Power System</w:t>
      </w:r>
      <w:r>
        <w:tab/>
      </w:r>
      <w:r>
        <w:fldChar w:fldCharType="begin"/>
      </w:r>
      <w:r>
        <w:instrText xml:space="preserve"> PAGEREF _Toc167094692 \h </w:instrText>
      </w:r>
      <w:r>
        <w:fldChar w:fldCharType="separate"/>
      </w:r>
      <w:r>
        <w:t>35</w:t>
      </w:r>
      <w:r>
        <w:fldChar w:fldCharType="end"/>
      </w:r>
      <w:r>
        <w:fldChar w:fldCharType="end"/>
      </w:r>
    </w:p>
    <w:p w14:paraId="3EB339A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"_Toc167094693" </w:instrText>
      </w:r>
      <w:r>
        <w:fldChar w:fldCharType="separate"/>
      </w:r>
      <w:r>
        <w:rPr>
          <w:rStyle w:val="67"/>
        </w:rPr>
        <w:t>4.27 KBR</w:t>
      </w:r>
      <w:r>
        <w:tab/>
      </w:r>
      <w:r>
        <w:fldChar w:fldCharType="begin"/>
      </w:r>
      <w:r>
        <w:instrText xml:space="preserve"> PAGEREF _Toc167094693 \h </w:instrText>
      </w:r>
      <w:r>
        <w:fldChar w:fldCharType="separate"/>
      </w:r>
      <w:r>
        <w:t>35</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固定功率电容器消费形态及客户偏好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固定功率电容器代表性客户分析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欧洲市场固定功率电容器销售渠道及销售模式分析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欧洲市场固定功率电容器代表性代理商分析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固定功率电容器行业生产模式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欧洲固定功率电容器进出口分析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欧洲市场固定功率电容器主要进口来源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欧洲市场固定功率电容器主要出口目的地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固定功率电容器行业发展分析---发展趋势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固定功率电容器行业发展分析---厂商壁垒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固定功率电容器行业发展分析---驱动因素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固定功率电容器行业发展分析---制约因素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固定功率电容器行业发展分析---行业政策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主要厂商固定功率电容器总部及产地分布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主要厂商固定功率电容器产品类型及应用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欧洲市场主要厂商固定功率电容器销量（2019-2024）&amp;（兆乏）</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欧洲市场主要厂商固定功率电容器销量市场份额（2019-2024）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欧洲市场主要厂商固定功率电容器收入（2019-2024）&amp;（万元）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欧洲市场主要厂商固定功率电容器收入份额（2019-2024）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欧洲市场主要厂商固定功率电容器价格（2019-2024）&amp;（美元/千乏）</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ABB 固定功率电容器生产基地、总部、竞争对手及市场地位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ABB 固定功率电容器产品规格、参数及市场应用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ABB公司简介及主要业务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ABB企业最新动态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Schneider Electric 固定功率电容器生产基地、总部、竞争对手及市场地位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Schneider Electric 固定功率电容器产品规格、参数及市场应用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Schneider Electric公司简介及主要业务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Schneider Electric企业最新动态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Eaton 固定功率电容器生产基地、总部、竞争对手及市场地位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Eaton 固定功率电容器产品规格、参数及市场应用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Eaton公司简介及主要业务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Eaton企业最新动态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欧洲本土固定功率电容器代表性客户分析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欧洲市场固定功率电容器代理商列表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欧洲市场固定功率电容器主要进口来源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欧洲市场固定功率电容器主要出口目的地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固定功率电容器行业发展分析---发展趋势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固定功率电容器行业发展分析---厂商壁垒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固定功率电容器行业发展分析---驱动因素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固定功率电容器行业发展分析---制约因素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固定功率电容器产品图片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全球固定功率电容器市场销售金额规模及增长率（2019-2030）&amp;（百万元）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全球固定功率电容器市场销量及增长率（2019-2030）&amp;（兆乏）</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欧洲市场固定功率电容器销售额及增长率（2019-2030）&amp;（百万元）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欧洲市场固定功率电容器销量及增长率（2019-2030）&amp;（兆乏）</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按国家划分，欧洲固定功率电容器销售金额份额（2019-2030）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按国家划分，欧洲固定功率电容器销量份额（2019-2030）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德国市场固定功率电容器销售额及增长率（2019-2030）&amp;（百万元）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德国市场固定功率电容器销量及增长率（2019-2030）&amp;（兆乏）</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法国市场固定功率电容器销售额及增长率（2019-2030）&amp;（百万元）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法国市场固定功率电容器销量及增长率（2019-2030）&amp;（兆乏）</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英国市场固定功率电容器销售额及增长率（2019-2030）&amp;（百万元）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英国市场固定功率电容器销量及增长率（2019-2030）&amp;（兆乏）</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意大利市场固定功率电容器销售额及增长率（2019-2030）&amp;（百万元）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意大利市场固定功率电容器销量及增长率（2019-2030）&amp;（兆乏）</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西班牙市场固定功率电容器销售额及增长率（2019-2030）&amp;（百万元）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西班牙市场固定功率电容器销量及增长率（2019-2030）&amp;（兆乏）</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俄罗斯市场固定功率电容器销售额及增长率（2019-2030）&amp;（百万元）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俄罗斯市场固定功率电容器销量及增长率（2019-2030）&amp;（兆乏）</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中东欧国家市场固定功率电容器销售额及增长率（2019-2030）&amp;（百万元）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中东欧国家市场固定功率电容器销量及增长率（2019-2030）&amp;（兆乏）</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北欧市场固定功率电容器销售额及增长率（2019-2030）&amp;（百万元）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北欧市场固定功率电容器销量及增长率（2019-2030）&amp;（兆乏）</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全球市场固定功率电容器厂商份额（2023）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2023年欧洲市场主要厂商固定功率电容器销量市场份额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2023年欧洲市场主要厂商固定功率电容器收入市场份额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2023年欧洲市场前五大厂商固定功率电容器市场份额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固定功率电容器行业生产模式分析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欧洲市场固定功率电容器主要来源地进口占比（2023）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欧洲市场固定功率电容器主要目的地出口占比（2023）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798AA90D">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固定功率电容器</w:t>
      </w:r>
      <w:r>
        <w:rPr>
          <w:rFonts w:hint="eastAsia"/>
          <w:lang w:eastAsia="zh-CN"/>
        </w:rPr>
        <w:t>定义</w:t>
      </w:r>
      <w:bookmarkEnd w:id="17"/>
      <w:bookmarkEnd w:id="18"/>
    </w:p>
    <w:p w14:paraId="399583F1">
      <w:pPr>
        <w:pStyle w:val="3"/>
      </w:pPr>
      <w:bookmarkStart w:id="20" w:name="_Toc167094593"/>
      <w:bookmarkStart w:id="21" w:name="_Toc166761977"/>
      <w:r>
        <w:rPr>
          <w:rFonts w:hint="eastAsia"/>
        </w:rPr>
        <w:t>固定功率电容器产品定义及统计范围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全球固定功率电容器主要厂商有ABB、Schneider Electric、Eaton、Nissin Electric、China XD等，全球前五大厂商共占有超过45%的市场份额。
目前中国是全球最大的固定功率电容器市场，占有超过30%的市场份额，之后是欧洲和美国市场，二者共占有超过35%的份额。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固定功率电容器</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固定功率电容器</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固定功率电容器</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固定功率电容器</w:t>
      </w:r>
      <w:r>
        <w:rPr>
          <w:rFonts w:hint="eastAsia"/>
        </w:rPr>
        <w:t>市场销量规模（2019-2030）</w:t>
      </w:r>
      <w:bookmarkEnd w:id="30"/>
      <w:bookmarkEnd w:id="31"/>
    </w:p>
    <w:p w14:paraId="58574A12">
      <w:pPr>
        <w:pStyle w:val="130"/>
      </w:pPr>
      <w:bookmarkStart w:id="32" w:name="_Toc167094534"/>
      <w:bookmarkStart w:id="33" w:name="_Toc166761931"/>
      <w:r>
        <w:rPr>
          <w:rFonts w:hint="eastAsia"/>
        </w:rPr>
        <w:t>全球</w:t>
      </w:r>
      <w:r>
        <w:t>固定功率电容器</w:t>
      </w:r>
      <w:r>
        <w:rPr>
          <w:rFonts w:hint="eastAsia"/>
        </w:rPr>
        <w:t>市场销量及增长率（2019-2030）&amp;（兆乏）</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欧洲市场固定功率电容器销售金额规模及增长率（2019-2030）</w:t>
      </w:r>
      <w:bookmarkEnd w:id="36"/>
      <w:bookmarkEnd w:id="37"/>
    </w:p>
    <w:p w14:paraId="539757B4">
      <w:pPr>
        <w:pStyle w:val="130"/>
      </w:pPr>
      <w:bookmarkStart w:id="38" w:name="_Toc167094535"/>
      <w:bookmarkStart w:id="39" w:name="_Toc166761932"/>
      <w:r>
        <w:rPr>
          <w:rFonts w:hint="eastAsia"/>
        </w:rPr>
        <w:t>欧洲市场固定功率电容器销售额及增长率（2019-2030）&amp;（百万元）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欧洲市场固定功率电容器销量及增长率（2019-2030）</w:t>
      </w:r>
      <w:bookmarkEnd w:id="40"/>
      <w:bookmarkEnd w:id="41"/>
    </w:p>
    <w:p w14:paraId="6767F233">
      <w:pPr>
        <w:pStyle w:val="130"/>
      </w:pPr>
      <w:bookmarkStart w:id="42" w:name="_Toc167094536"/>
      <w:bookmarkStart w:id="43" w:name="_Toc166761933"/>
      <w:r>
        <w:rPr>
          <w:rFonts w:hint="eastAsia"/>
        </w:rPr>
        <w:t>欧洲市场固定功率电容器销量及增长率（2019-2030）&amp;（</w:t>
      </w:r>
      <w:r>
        <w:t>兆乏</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按国家划分，欧洲固定功率电容器销售金额份额（2019-2030）</w:t>
      </w:r>
      <w:bookmarkEnd w:id="44"/>
    </w:p>
    <w:p w14:paraId="7AD30CEC">
      <w:pPr>
        <w:pStyle w:val="130"/>
      </w:pPr>
      <w:bookmarkStart w:id="45" w:name="_Toc167094537"/>
      <w:r>
        <w:rPr>
          <w:rFonts w:hint="eastAsia"/>
        </w:rPr>
        <w:t>按国家划分，欧洲固定功率电容器销售金额份额（2019-2030）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按国家划分，欧洲固定功率电容器销量份额（2019-2030）</w:t>
      </w:r>
      <w:bookmarkEnd w:id="46"/>
    </w:p>
    <w:p w14:paraId="6E5E495B">
      <w:pPr>
        <w:pStyle w:val="130"/>
      </w:pPr>
      <w:bookmarkStart w:id="47" w:name="_Toc167094538"/>
      <w:r>
        <w:rPr>
          <w:rFonts w:hint="eastAsia"/>
        </w:rPr>
        <w:t>按国家划分，欧洲固定功率电容器销量份额（2019-2030）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德国市场固定功率电容器收入规模及增长率（2019-2030）</w:t>
      </w:r>
      <w:bookmarkEnd w:id="49"/>
    </w:p>
    <w:p w14:paraId="3F51D29C">
      <w:pPr>
        <w:pStyle w:val="130"/>
      </w:pPr>
      <w:bookmarkStart w:id="50" w:name="_Toc167094539"/>
      <w:r>
        <w:rPr>
          <w:rFonts w:hint="eastAsia"/>
        </w:rPr>
        <w:t>德国市场固定功率电容器销售额及增长率（2019-2030）&amp;（百万元）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德国市场固定功率电容器销量及增长率（2019-2030）</w:t>
      </w:r>
      <w:bookmarkEnd w:id="51"/>
    </w:p>
    <w:p w14:paraId="0F102481">
      <w:pPr>
        <w:pStyle w:val="130"/>
      </w:pPr>
      <w:bookmarkStart w:id="52" w:name="_Toc167094540"/>
      <w:r>
        <w:rPr>
          <w:rFonts w:hint="eastAsia"/>
        </w:rPr>
        <w:t>德国市场固定功率电容器销量及增长率（2019-2030）&amp;（</w:t>
      </w:r>
      <w:r>
        <w:t>兆乏</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法国市场固定功率电容器收入规模及增长率（2019-2030）</w:t>
      </w:r>
      <w:bookmarkEnd w:id="54"/>
    </w:p>
    <w:p w14:paraId="7D68F417">
      <w:pPr>
        <w:pStyle w:val="130"/>
      </w:pPr>
      <w:bookmarkStart w:id="55" w:name="_Toc167094541"/>
      <w:r>
        <w:rPr>
          <w:rFonts w:hint="eastAsia"/>
        </w:rPr>
        <w:t>法国市场固定功率电容器销售额及增长率（2019-2030）&amp;（百万元）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法国市场固定功率电容器销量及增长率（2019-2030）</w:t>
      </w:r>
      <w:bookmarkEnd w:id="56"/>
    </w:p>
    <w:p w14:paraId="0AF8CE7B">
      <w:pPr>
        <w:pStyle w:val="130"/>
      </w:pPr>
      <w:bookmarkStart w:id="57" w:name="_Toc167094542"/>
      <w:r>
        <w:rPr>
          <w:rFonts w:hint="eastAsia"/>
        </w:rPr>
        <w:t>法国市场固定功率电容器销量及增长率（2019-2030）&amp;（</w:t>
      </w:r>
      <w:r>
        <w:t>兆乏</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英国市场固定功率电容器收入规模及增长率（2019-2030）</w:t>
      </w:r>
      <w:bookmarkEnd w:id="59"/>
    </w:p>
    <w:p w14:paraId="3CA69789">
      <w:pPr>
        <w:pStyle w:val="130"/>
      </w:pPr>
      <w:bookmarkStart w:id="60" w:name="_Toc167094543"/>
      <w:r>
        <w:rPr>
          <w:rFonts w:hint="eastAsia"/>
        </w:rPr>
        <w:t>英国市场固定功率电容器销售额及增长率（2019-2030）&amp;（百万元）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英国市场固定功率电容器销量及增长率（2019-2030）</w:t>
      </w:r>
      <w:bookmarkEnd w:id="61"/>
    </w:p>
    <w:p w14:paraId="537BDED4">
      <w:pPr>
        <w:pStyle w:val="130"/>
      </w:pPr>
      <w:bookmarkStart w:id="62" w:name="_Toc167094544"/>
      <w:r>
        <w:rPr>
          <w:rFonts w:hint="eastAsia"/>
        </w:rPr>
        <w:t>英国市场固定功率电容器销量及增长率（2019-2030）&amp;（</w:t>
      </w:r>
      <w:r>
        <w:t>兆乏</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意大利市场固定功率电容器收入规模及增长率（2019-2030）</w:t>
      </w:r>
      <w:bookmarkEnd w:id="64"/>
    </w:p>
    <w:p w14:paraId="3973EC9A">
      <w:pPr>
        <w:pStyle w:val="130"/>
      </w:pPr>
      <w:bookmarkStart w:id="65" w:name="_Toc167094545"/>
      <w:r>
        <w:rPr>
          <w:rFonts w:hint="eastAsia"/>
        </w:rPr>
        <w:t>意大利市场固定功率电容器销售额及增长率（2019-2030）&amp;（百万元）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意大利市场固定功率电容器销量及增长率（2019-2030）</w:t>
      </w:r>
      <w:bookmarkEnd w:id="66"/>
    </w:p>
    <w:p w14:paraId="6DCD8522">
      <w:pPr>
        <w:pStyle w:val="130"/>
      </w:pPr>
      <w:bookmarkStart w:id="67" w:name="_Toc167094546"/>
      <w:r>
        <w:rPr>
          <w:rFonts w:hint="eastAsia"/>
        </w:rPr>
        <w:t>意大利市场固定功率电容器销量及增长率（2019-2030）&amp;（</w:t>
      </w:r>
      <w:r>
        <w:t>兆乏</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西班牙市场固定功率电容器收入规模及增长率（2019-2030）</w:t>
      </w:r>
      <w:bookmarkEnd w:id="69"/>
    </w:p>
    <w:p w14:paraId="7150BD26">
      <w:pPr>
        <w:pStyle w:val="130"/>
      </w:pPr>
      <w:bookmarkStart w:id="70" w:name="_Toc167094547"/>
      <w:r>
        <w:rPr>
          <w:rFonts w:hint="eastAsia"/>
        </w:rPr>
        <w:t>西班牙市场固定功率电容器销售额及增长率（2019-2030）&amp;（百万元）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西班牙市场固定功率电容器销量及增长率（2019-2030）</w:t>
      </w:r>
      <w:bookmarkEnd w:id="71"/>
    </w:p>
    <w:p w14:paraId="6D5F9E85">
      <w:pPr>
        <w:pStyle w:val="130"/>
      </w:pPr>
      <w:bookmarkStart w:id="72" w:name="_Toc167094548"/>
      <w:r>
        <w:rPr>
          <w:rFonts w:hint="eastAsia"/>
        </w:rPr>
        <w:t>西班牙市场固定功率电容器销量及增长率（2019-2030）&amp;（</w:t>
      </w:r>
      <w:r>
        <w:t>兆乏</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俄罗斯市场固定功率电容器收入规模及增长率（2019-2030）</w:t>
      </w:r>
      <w:bookmarkEnd w:id="74"/>
    </w:p>
    <w:p w14:paraId="4C55A417">
      <w:pPr>
        <w:pStyle w:val="130"/>
      </w:pPr>
      <w:bookmarkStart w:id="75" w:name="_Toc167094549"/>
      <w:r>
        <w:rPr>
          <w:rFonts w:hint="eastAsia"/>
        </w:rPr>
        <w:t>俄罗斯市场固定功率电容器销售额及增长率（2019-2030）&amp;（百万元）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俄罗斯市场固定功率电容器销量及增长率（2019-2030）</w:t>
      </w:r>
      <w:bookmarkEnd w:id="76"/>
    </w:p>
    <w:p w14:paraId="565611D4">
      <w:pPr>
        <w:pStyle w:val="130"/>
      </w:pPr>
      <w:bookmarkStart w:id="77" w:name="_Toc167094550"/>
      <w:r>
        <w:rPr>
          <w:rFonts w:hint="eastAsia"/>
        </w:rPr>
        <w:t>俄罗斯市场固定功率电容器销量及增长率（2019-2030）&amp;（</w:t>
      </w:r>
      <w:r>
        <w:t>兆乏</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中东欧国家市场固定功率电容器收入规模及增长率（2019-2030）</w:t>
      </w:r>
      <w:bookmarkEnd w:id="79"/>
    </w:p>
    <w:p w14:paraId="0F086807">
      <w:pPr>
        <w:pStyle w:val="130"/>
      </w:pPr>
      <w:bookmarkStart w:id="80" w:name="_Toc167094551"/>
      <w:r>
        <w:rPr>
          <w:rFonts w:hint="eastAsia"/>
        </w:rPr>
        <w:t>中东欧国家市场固定功率电容器销售额及增长率（2019-2030）&amp;（百万元）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中东欧国家市场固定功率电容器销量及增长率（2019-2030）</w:t>
      </w:r>
      <w:bookmarkEnd w:id="81"/>
    </w:p>
    <w:p w14:paraId="27A6DA43">
      <w:pPr>
        <w:pStyle w:val="130"/>
      </w:pPr>
      <w:bookmarkStart w:id="82" w:name="_Toc167094552"/>
      <w:r>
        <w:rPr>
          <w:rFonts w:hint="eastAsia"/>
        </w:rPr>
        <w:t>中东欧国家市场固定功率电容器销量及增长率（2019-2030）&amp;（</w:t>
      </w:r>
      <w:r>
        <w:t>兆乏</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北欧市场固定功率电容器收入规模及增长率（2019-2030）</w:t>
      </w:r>
      <w:bookmarkEnd w:id="84"/>
    </w:p>
    <w:p w14:paraId="6C7788B4">
      <w:pPr>
        <w:pStyle w:val="130"/>
      </w:pPr>
      <w:bookmarkStart w:id="85" w:name="_Toc167094553"/>
      <w:r>
        <w:rPr>
          <w:rFonts w:hint="eastAsia"/>
        </w:rPr>
        <w:t>北欧市场固定功率电容器销售额及增长率（2019-2030）&amp;（百万元）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北欧市场固定功率电容器销量及增长率（2019-2030）</w:t>
      </w:r>
      <w:bookmarkEnd w:id="86"/>
    </w:p>
    <w:p w14:paraId="013EA166">
      <w:pPr>
        <w:pStyle w:val="130"/>
      </w:pPr>
      <w:bookmarkStart w:id="87" w:name="_Toc167094554"/>
      <w:r>
        <w:rPr>
          <w:rFonts w:hint="eastAsia"/>
        </w:rPr>
        <w:t>北欧市场固定功率电容器销量及增长率（2019-2030）&amp;（</w:t>
      </w:r>
      <w:r>
        <w:t>兆乏</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全球市场固定功率电容器竞争格局</w:t>
      </w:r>
      <w:bookmarkEnd w:id="103"/>
    </w:p>
    <w:p w14:paraId="2D7F9CF1">
      <w:pPr>
        <w:pStyle w:val="4"/>
      </w:pPr>
      <w:bookmarkStart w:id="104" w:name="_Toc167094638"/>
      <w:r>
        <w:rPr>
          <w:rFonts w:hint="eastAsia"/>
        </w:rPr>
        <w:t>全球市场固定功率电容器厂商份额（2023）</w:t>
      </w:r>
      <w:bookmarkEnd w:id="104"/>
    </w:p>
    <w:p w14:paraId="13B48379">
      <w:pPr>
        <w:pStyle w:val="130"/>
      </w:pPr>
      <w:bookmarkStart w:id="105" w:name="_Toc167094556"/>
      <w:r>
        <w:rPr>
          <w:rFonts w:hint="eastAsia"/>
        </w:rPr>
        <w:t>全球市场固定功率电容器厂商份额（2023）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全球市场固定功率电容器竞争分析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67094640"/>
      <w:bookmarkStart w:id="110" w:name="_Toc121583901"/>
      <w:bookmarkStart w:id="111" w:name="_Toc24028304"/>
      <w:bookmarkStart w:id="112" w:name="_Toc121583895"/>
      <w:bookmarkStart w:id="113" w:name="_Toc24972494"/>
      <w:r>
        <w:rPr>
          <w:rFonts w:hint="eastAsia"/>
        </w:rPr>
        <w:t>主要厂商</w:t>
      </w:r>
      <w:r>
        <w:t>固定功率电容器</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21583633"/>
      <w:bookmarkStart w:id="117" w:name="_Toc167094565"/>
      <w:r>
        <w:rPr>
          <w:rFonts w:hint="eastAsia"/>
        </w:rPr>
        <w:t>主要厂商固定功率电容器</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ABB</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Schneider Electric</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Eaton</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Nissin Electric</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China XD</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Siyuan</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Guilin Power Capacitor</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Electronicon</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GE Grid Solutions</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Herong Electric</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New Northeast Electric</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TDK</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Vishay</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L&amp;T</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LIFASA</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086519">
            <w:pPr>
              <w:rPr>
                <w:rFonts w:cs="Times New Roman"/>
                <w:kern w:val="0"/>
                <w:sz w:val="20"/>
                <w:szCs w:val="20"/>
              </w:rPr>
            </w:pPr>
            <w:r>
              <w:rPr>
                <w:rFonts w:cs="Times New Roman"/>
                <w:kern w:val="0"/>
                <w:sz w:val="20"/>
                <w:szCs w:val="20"/>
              </w:rPr>
              <w:t>Shreem Electric</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tr w14:paraId="3800B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2229D6">
            <w:pPr>
              <w:rPr>
                <w:rFonts w:cs="Times New Roman"/>
                <w:kern w:val="0"/>
                <w:sz w:val="20"/>
                <w:szCs w:val="20"/>
              </w:rPr>
            </w:pPr>
            <w:r>
              <w:rPr>
                <w:rFonts w:cs="Times New Roman"/>
                <w:kern w:val="0"/>
                <w:sz w:val="20"/>
                <w:szCs w:val="20"/>
              </w:rPr>
              <w:t>Frako</w:t>
            </w:r>
          </w:p>
        </w:tc>
        <w:tc>
          <w:tcPr>
            <w:tcW w:w="1226" w:type="pct"/>
            <w:shd w:val="clear" w:color="auto" w:fill="auto"/>
            <w:noWrap/>
            <w:vAlign w:val="center"/>
          </w:tcPr>
          <w:p w14:paraId="4AABDF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EB81B6B">
            <w:pPr>
              <w:rPr>
                <w:rFonts w:cs="Times New Roman"/>
                <w:kern w:val="0"/>
                <w:sz w:val="20"/>
                <w:szCs w:val="20"/>
              </w:rPr>
            </w:pPr>
            <w:r>
              <w:rPr>
                <w:rFonts w:hint="eastAsia" w:cs="Times New Roman"/>
                <w:kern w:val="0"/>
                <w:sz w:val="20"/>
                <w:szCs w:val="20"/>
              </w:rPr>
              <w:t>XX</w:t>
            </w:r>
          </w:p>
        </w:tc>
      </w:tr>
      <w:tr w14:paraId="3E059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1B9FE1">
            <w:pPr>
              <w:rPr>
                <w:rFonts w:cs="Times New Roman"/>
                <w:kern w:val="0"/>
                <w:sz w:val="20"/>
                <w:szCs w:val="20"/>
              </w:rPr>
            </w:pPr>
            <w:r>
              <w:rPr>
                <w:rFonts w:cs="Times New Roman"/>
                <w:kern w:val="0"/>
                <w:sz w:val="20"/>
                <w:szCs w:val="20"/>
              </w:rPr>
              <w:t>RTR</w:t>
            </w:r>
          </w:p>
        </w:tc>
        <w:tc>
          <w:tcPr>
            <w:tcW w:w="1226" w:type="pct"/>
            <w:shd w:val="clear" w:color="auto" w:fill="auto"/>
            <w:noWrap/>
            <w:vAlign w:val="center"/>
          </w:tcPr>
          <w:p w14:paraId="54D12A9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5CCBDB">
            <w:pPr>
              <w:rPr>
                <w:rFonts w:cs="Times New Roman"/>
                <w:kern w:val="0"/>
                <w:sz w:val="20"/>
                <w:szCs w:val="20"/>
              </w:rPr>
            </w:pPr>
            <w:r>
              <w:rPr>
                <w:rFonts w:hint="eastAsia" w:cs="Times New Roman"/>
                <w:kern w:val="0"/>
                <w:sz w:val="20"/>
                <w:szCs w:val="20"/>
              </w:rPr>
              <w:t>XX</w:t>
            </w:r>
          </w:p>
        </w:tc>
      </w:tr>
      <w:tr w14:paraId="2FC88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7641103">
            <w:pPr>
              <w:rPr>
                <w:rFonts w:cs="Times New Roman"/>
                <w:kern w:val="0"/>
                <w:sz w:val="20"/>
                <w:szCs w:val="20"/>
              </w:rPr>
            </w:pPr>
            <w:r>
              <w:rPr>
                <w:rFonts w:cs="Times New Roman"/>
                <w:kern w:val="0"/>
                <w:sz w:val="20"/>
                <w:szCs w:val="20"/>
              </w:rPr>
              <w:t>ICAR</w:t>
            </w:r>
          </w:p>
        </w:tc>
        <w:tc>
          <w:tcPr>
            <w:tcW w:w="1226" w:type="pct"/>
            <w:shd w:val="clear" w:color="auto" w:fill="auto"/>
            <w:noWrap/>
            <w:vAlign w:val="center"/>
          </w:tcPr>
          <w:p w14:paraId="54EDA8C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70004E">
            <w:pPr>
              <w:rPr>
                <w:rFonts w:cs="Times New Roman"/>
                <w:kern w:val="0"/>
                <w:sz w:val="20"/>
                <w:szCs w:val="20"/>
              </w:rPr>
            </w:pPr>
            <w:r>
              <w:rPr>
                <w:rFonts w:hint="eastAsia" w:cs="Times New Roman"/>
                <w:kern w:val="0"/>
                <w:sz w:val="20"/>
                <w:szCs w:val="20"/>
              </w:rPr>
              <w:t>XX</w:t>
            </w:r>
          </w:p>
        </w:tc>
      </w:tr>
      <w:tr w14:paraId="68647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A8C5BFA">
            <w:pPr>
              <w:rPr>
                <w:rFonts w:cs="Times New Roman"/>
                <w:kern w:val="0"/>
                <w:sz w:val="20"/>
                <w:szCs w:val="20"/>
              </w:rPr>
            </w:pPr>
            <w:r>
              <w:rPr>
                <w:rFonts w:cs="Times New Roman"/>
                <w:kern w:val="0"/>
                <w:sz w:val="20"/>
                <w:szCs w:val="20"/>
              </w:rPr>
              <w:t>DUCATI</w:t>
            </w:r>
          </w:p>
        </w:tc>
        <w:tc>
          <w:tcPr>
            <w:tcW w:w="1226" w:type="pct"/>
            <w:shd w:val="clear" w:color="auto" w:fill="auto"/>
            <w:noWrap/>
            <w:vAlign w:val="center"/>
          </w:tcPr>
          <w:p w14:paraId="35B169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22DF6DD">
            <w:pPr>
              <w:rPr>
                <w:rFonts w:cs="Times New Roman"/>
                <w:kern w:val="0"/>
                <w:sz w:val="20"/>
                <w:szCs w:val="20"/>
              </w:rPr>
            </w:pPr>
            <w:r>
              <w:rPr>
                <w:rFonts w:hint="eastAsia" w:cs="Times New Roman"/>
                <w:kern w:val="0"/>
                <w:sz w:val="20"/>
                <w:szCs w:val="20"/>
              </w:rPr>
              <w:t>XX</w:t>
            </w:r>
          </w:p>
        </w:tc>
      </w:tr>
      <w:tr w14:paraId="5F11E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050CD04">
            <w:pPr>
              <w:rPr>
                <w:rFonts w:cs="Times New Roman"/>
                <w:kern w:val="0"/>
                <w:sz w:val="20"/>
                <w:szCs w:val="20"/>
              </w:rPr>
            </w:pPr>
            <w:r>
              <w:rPr>
                <w:rFonts w:cs="Times New Roman"/>
                <w:kern w:val="0"/>
                <w:sz w:val="20"/>
                <w:szCs w:val="20"/>
              </w:rPr>
              <w:t>ZEZ</w:t>
            </w:r>
          </w:p>
        </w:tc>
        <w:tc>
          <w:tcPr>
            <w:tcW w:w="1226" w:type="pct"/>
            <w:shd w:val="clear" w:color="auto" w:fill="auto"/>
            <w:noWrap/>
            <w:vAlign w:val="center"/>
          </w:tcPr>
          <w:p w14:paraId="66D60A7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5D36F3">
            <w:pPr>
              <w:rPr>
                <w:rFonts w:cs="Times New Roman"/>
                <w:kern w:val="0"/>
                <w:sz w:val="20"/>
                <w:szCs w:val="20"/>
              </w:rPr>
            </w:pPr>
            <w:r>
              <w:rPr>
                <w:rFonts w:hint="eastAsia" w:cs="Times New Roman"/>
                <w:kern w:val="0"/>
                <w:sz w:val="20"/>
                <w:szCs w:val="20"/>
              </w:rPr>
              <w:t>XX</w:t>
            </w:r>
          </w:p>
        </w:tc>
      </w:tr>
      <w:tr w14:paraId="60220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C758690">
            <w:pPr>
              <w:rPr>
                <w:rFonts w:cs="Times New Roman"/>
                <w:kern w:val="0"/>
                <w:sz w:val="20"/>
                <w:szCs w:val="20"/>
              </w:rPr>
            </w:pPr>
            <w:r>
              <w:rPr>
                <w:rFonts w:cs="Times New Roman"/>
                <w:kern w:val="0"/>
                <w:sz w:val="20"/>
                <w:szCs w:val="20"/>
              </w:rPr>
              <w:t>ACPES</w:t>
            </w:r>
          </w:p>
        </w:tc>
        <w:tc>
          <w:tcPr>
            <w:tcW w:w="1226" w:type="pct"/>
            <w:shd w:val="clear" w:color="auto" w:fill="auto"/>
            <w:noWrap/>
            <w:vAlign w:val="center"/>
          </w:tcPr>
          <w:p w14:paraId="53B80F0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725CC79">
            <w:pPr>
              <w:rPr>
                <w:rFonts w:cs="Times New Roman"/>
                <w:kern w:val="0"/>
                <w:sz w:val="20"/>
                <w:szCs w:val="20"/>
              </w:rPr>
            </w:pPr>
            <w:r>
              <w:rPr>
                <w:rFonts w:hint="eastAsia" w:cs="Times New Roman"/>
                <w:kern w:val="0"/>
                <w:sz w:val="20"/>
                <w:szCs w:val="20"/>
              </w:rPr>
              <w:t>XX</w:t>
            </w:r>
          </w:p>
        </w:tc>
      </w:tr>
      <w:tr w14:paraId="00C11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5BE6CE1">
            <w:pPr>
              <w:rPr>
                <w:rFonts w:cs="Times New Roman"/>
                <w:kern w:val="0"/>
                <w:sz w:val="20"/>
                <w:szCs w:val="20"/>
              </w:rPr>
            </w:pPr>
            <w:r>
              <w:rPr>
                <w:rFonts w:cs="Times New Roman"/>
                <w:kern w:val="0"/>
                <w:sz w:val="20"/>
                <w:szCs w:val="20"/>
              </w:rPr>
              <w:t>CIRCUTOR</w:t>
            </w:r>
          </w:p>
        </w:tc>
        <w:tc>
          <w:tcPr>
            <w:tcW w:w="1226" w:type="pct"/>
            <w:shd w:val="clear" w:color="auto" w:fill="auto"/>
            <w:noWrap/>
            <w:vAlign w:val="center"/>
          </w:tcPr>
          <w:p w14:paraId="4563C1F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F14EC7C">
            <w:pPr>
              <w:rPr>
                <w:rFonts w:cs="Times New Roman"/>
                <w:kern w:val="0"/>
                <w:sz w:val="20"/>
                <w:szCs w:val="20"/>
              </w:rPr>
            </w:pPr>
            <w:r>
              <w:rPr>
                <w:rFonts w:hint="eastAsia" w:cs="Times New Roman"/>
                <w:kern w:val="0"/>
                <w:sz w:val="20"/>
                <w:szCs w:val="20"/>
              </w:rPr>
              <w:t>XX</w:t>
            </w:r>
          </w:p>
        </w:tc>
      </w:tr>
      <w:tr w14:paraId="43A73F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B835011">
            <w:pPr>
              <w:rPr>
                <w:rFonts w:cs="Times New Roman"/>
                <w:kern w:val="0"/>
                <w:sz w:val="20"/>
                <w:szCs w:val="20"/>
              </w:rPr>
            </w:pPr>
            <w:r>
              <w:rPr>
                <w:rFonts w:cs="Times New Roman"/>
                <w:kern w:val="0"/>
                <w:sz w:val="20"/>
                <w:szCs w:val="20"/>
              </w:rPr>
              <w:t>COMAR</w:t>
            </w:r>
          </w:p>
        </w:tc>
        <w:tc>
          <w:tcPr>
            <w:tcW w:w="1226" w:type="pct"/>
            <w:shd w:val="clear" w:color="auto" w:fill="auto"/>
            <w:noWrap/>
            <w:vAlign w:val="center"/>
          </w:tcPr>
          <w:p w14:paraId="47A34A5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678006">
            <w:pPr>
              <w:rPr>
                <w:rFonts w:cs="Times New Roman"/>
                <w:kern w:val="0"/>
                <w:sz w:val="20"/>
                <w:szCs w:val="20"/>
              </w:rPr>
            </w:pPr>
            <w:r>
              <w:rPr>
                <w:rFonts w:hint="eastAsia" w:cs="Times New Roman"/>
                <w:kern w:val="0"/>
                <w:sz w:val="20"/>
                <w:szCs w:val="20"/>
              </w:rPr>
              <w:t>XX</w:t>
            </w:r>
          </w:p>
        </w:tc>
      </w:tr>
      <w:tr w14:paraId="1B20D5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4CF19F">
            <w:pPr>
              <w:rPr>
                <w:rFonts w:cs="Times New Roman"/>
                <w:kern w:val="0"/>
                <w:sz w:val="20"/>
                <w:szCs w:val="20"/>
              </w:rPr>
            </w:pPr>
            <w:r>
              <w:rPr>
                <w:rFonts w:cs="Times New Roman"/>
                <w:kern w:val="0"/>
                <w:sz w:val="20"/>
                <w:szCs w:val="20"/>
              </w:rPr>
              <w:t>Franke GMKP</w:t>
            </w:r>
          </w:p>
        </w:tc>
        <w:tc>
          <w:tcPr>
            <w:tcW w:w="1226" w:type="pct"/>
            <w:shd w:val="clear" w:color="auto" w:fill="auto"/>
            <w:noWrap/>
            <w:vAlign w:val="center"/>
          </w:tcPr>
          <w:p w14:paraId="5CDE17E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F48137F">
            <w:pPr>
              <w:rPr>
                <w:rFonts w:cs="Times New Roman"/>
                <w:kern w:val="0"/>
                <w:sz w:val="20"/>
                <w:szCs w:val="20"/>
              </w:rPr>
            </w:pPr>
            <w:r>
              <w:rPr>
                <w:rFonts w:hint="eastAsia" w:cs="Times New Roman"/>
                <w:kern w:val="0"/>
                <w:sz w:val="20"/>
                <w:szCs w:val="20"/>
              </w:rPr>
              <w:t>XX</w:t>
            </w:r>
          </w:p>
        </w:tc>
      </w:tr>
      <w:tr w14:paraId="4F80A0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5A81B06">
            <w:pPr>
              <w:rPr>
                <w:rFonts w:cs="Times New Roman"/>
                <w:kern w:val="0"/>
                <w:sz w:val="20"/>
                <w:szCs w:val="20"/>
              </w:rPr>
            </w:pPr>
            <w:r>
              <w:rPr>
                <w:rFonts w:cs="Times New Roman"/>
                <w:kern w:val="0"/>
                <w:sz w:val="20"/>
                <w:szCs w:val="20"/>
              </w:rPr>
              <w:t>AB Power System</w:t>
            </w:r>
          </w:p>
        </w:tc>
        <w:tc>
          <w:tcPr>
            <w:tcW w:w="1226" w:type="pct"/>
            <w:shd w:val="clear" w:color="auto" w:fill="auto"/>
            <w:noWrap/>
            <w:vAlign w:val="center"/>
          </w:tcPr>
          <w:p w14:paraId="2D2195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C5E7A24">
            <w:pPr>
              <w:rPr>
                <w:rFonts w:cs="Times New Roman"/>
                <w:kern w:val="0"/>
                <w:sz w:val="20"/>
                <w:szCs w:val="20"/>
              </w:rPr>
            </w:pPr>
            <w:r>
              <w:rPr>
                <w:rFonts w:hint="eastAsia" w:cs="Times New Roman"/>
                <w:kern w:val="0"/>
                <w:sz w:val="20"/>
                <w:szCs w:val="20"/>
              </w:rPr>
              <w:t>XX</w:t>
            </w:r>
          </w:p>
        </w:tc>
      </w:tr>
      <w:tr w14:paraId="1BAF6C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488FEFF">
            <w:pPr>
              <w:rPr>
                <w:rFonts w:cs="Times New Roman"/>
                <w:kern w:val="0"/>
                <w:sz w:val="20"/>
                <w:szCs w:val="20"/>
              </w:rPr>
            </w:pPr>
            <w:r>
              <w:rPr>
                <w:rFonts w:cs="Times New Roman"/>
                <w:kern w:val="0"/>
                <w:sz w:val="20"/>
                <w:szCs w:val="20"/>
              </w:rPr>
              <w:t>KBR</w:t>
            </w:r>
          </w:p>
        </w:tc>
        <w:tc>
          <w:tcPr>
            <w:tcW w:w="1226" w:type="pct"/>
            <w:shd w:val="clear" w:color="auto" w:fill="auto"/>
            <w:noWrap/>
            <w:vAlign w:val="center"/>
          </w:tcPr>
          <w:p w14:paraId="66AB422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3165B0A">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固定功率电容器</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主要厂商固定功率电容器产品类型及应用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ABB</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Schneider Electric</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Eaton</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Nissin Electric</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China XD</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Siyuan</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Guilin Power Capacitor</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Electronicon</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GE Grid Solutions</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Herong Electric</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New Northeast Electric</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TDK</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Vishay</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L&amp;T</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LIFASA</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66C6BC">
            <w:pPr>
              <w:rPr>
                <w:rFonts w:cs="Times New Roman"/>
                <w:kern w:val="0"/>
                <w:sz w:val="20"/>
                <w:szCs w:val="20"/>
              </w:rPr>
            </w:pPr>
            <w:r>
              <w:rPr>
                <w:rFonts w:cs="Times New Roman"/>
                <w:kern w:val="0"/>
                <w:sz w:val="20"/>
                <w:szCs w:val="20"/>
              </w:rPr>
              <w:t>Shreem Electric</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r w14:paraId="34B48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6DDEAA">
            <w:pPr>
              <w:rPr>
                <w:rFonts w:cs="Times New Roman"/>
                <w:kern w:val="0"/>
                <w:sz w:val="20"/>
                <w:szCs w:val="20"/>
              </w:rPr>
            </w:pPr>
            <w:r>
              <w:rPr>
                <w:rFonts w:cs="Times New Roman"/>
                <w:kern w:val="0"/>
                <w:sz w:val="20"/>
                <w:szCs w:val="20"/>
              </w:rPr>
              <w:t>Frako</w:t>
            </w:r>
          </w:p>
        </w:tc>
        <w:tc>
          <w:tcPr>
            <w:tcW w:w="1226" w:type="pct"/>
            <w:shd w:val="clear" w:color="auto" w:fill="auto"/>
            <w:noWrap/>
            <w:vAlign w:val="center"/>
          </w:tcPr>
          <w:p w14:paraId="4A03DB2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FC28C3">
            <w:pPr>
              <w:rPr>
                <w:rFonts w:cs="Times New Roman"/>
                <w:kern w:val="0"/>
                <w:sz w:val="20"/>
                <w:szCs w:val="20"/>
              </w:rPr>
            </w:pPr>
            <w:r>
              <w:rPr>
                <w:rFonts w:hint="eastAsia" w:cs="Times New Roman"/>
                <w:kern w:val="0"/>
                <w:sz w:val="20"/>
                <w:szCs w:val="20"/>
              </w:rPr>
              <w:t>XX</w:t>
            </w:r>
          </w:p>
        </w:tc>
      </w:tr>
      <w:tr w14:paraId="0696F9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D547145">
            <w:pPr>
              <w:rPr>
                <w:rFonts w:cs="Times New Roman"/>
                <w:kern w:val="0"/>
                <w:sz w:val="20"/>
                <w:szCs w:val="20"/>
              </w:rPr>
            </w:pPr>
            <w:r>
              <w:rPr>
                <w:rFonts w:cs="Times New Roman"/>
                <w:kern w:val="0"/>
                <w:sz w:val="20"/>
                <w:szCs w:val="20"/>
              </w:rPr>
              <w:t>RTR</w:t>
            </w:r>
          </w:p>
        </w:tc>
        <w:tc>
          <w:tcPr>
            <w:tcW w:w="1226" w:type="pct"/>
            <w:shd w:val="clear" w:color="auto" w:fill="auto"/>
            <w:noWrap/>
            <w:vAlign w:val="center"/>
          </w:tcPr>
          <w:p w14:paraId="7B8A13C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2647A2">
            <w:pPr>
              <w:rPr>
                <w:rFonts w:cs="Times New Roman"/>
                <w:kern w:val="0"/>
                <w:sz w:val="20"/>
                <w:szCs w:val="20"/>
              </w:rPr>
            </w:pPr>
            <w:r>
              <w:rPr>
                <w:rFonts w:hint="eastAsia" w:cs="Times New Roman"/>
                <w:kern w:val="0"/>
                <w:sz w:val="20"/>
                <w:szCs w:val="20"/>
              </w:rPr>
              <w:t>XX</w:t>
            </w:r>
          </w:p>
        </w:tc>
      </w:tr>
      <w:tr w14:paraId="67E60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8ED9F40">
            <w:pPr>
              <w:rPr>
                <w:rFonts w:cs="Times New Roman"/>
                <w:kern w:val="0"/>
                <w:sz w:val="20"/>
                <w:szCs w:val="20"/>
              </w:rPr>
            </w:pPr>
            <w:r>
              <w:rPr>
                <w:rFonts w:cs="Times New Roman"/>
                <w:kern w:val="0"/>
                <w:sz w:val="20"/>
                <w:szCs w:val="20"/>
              </w:rPr>
              <w:t>ICAR</w:t>
            </w:r>
          </w:p>
        </w:tc>
        <w:tc>
          <w:tcPr>
            <w:tcW w:w="1226" w:type="pct"/>
            <w:shd w:val="clear" w:color="auto" w:fill="auto"/>
            <w:noWrap/>
            <w:vAlign w:val="center"/>
          </w:tcPr>
          <w:p w14:paraId="7F03439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B452D42">
            <w:pPr>
              <w:rPr>
                <w:rFonts w:cs="Times New Roman"/>
                <w:kern w:val="0"/>
                <w:sz w:val="20"/>
                <w:szCs w:val="20"/>
              </w:rPr>
            </w:pPr>
            <w:r>
              <w:rPr>
                <w:rFonts w:hint="eastAsia" w:cs="Times New Roman"/>
                <w:kern w:val="0"/>
                <w:sz w:val="20"/>
                <w:szCs w:val="20"/>
              </w:rPr>
              <w:t>XX</w:t>
            </w:r>
          </w:p>
        </w:tc>
      </w:tr>
      <w:tr w14:paraId="1DD3E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9BF1E4">
            <w:pPr>
              <w:rPr>
                <w:rFonts w:cs="Times New Roman"/>
                <w:kern w:val="0"/>
                <w:sz w:val="20"/>
                <w:szCs w:val="20"/>
              </w:rPr>
            </w:pPr>
            <w:r>
              <w:rPr>
                <w:rFonts w:cs="Times New Roman"/>
                <w:kern w:val="0"/>
                <w:sz w:val="20"/>
                <w:szCs w:val="20"/>
              </w:rPr>
              <w:t>DUCATI</w:t>
            </w:r>
          </w:p>
        </w:tc>
        <w:tc>
          <w:tcPr>
            <w:tcW w:w="1226" w:type="pct"/>
            <w:shd w:val="clear" w:color="auto" w:fill="auto"/>
            <w:noWrap/>
            <w:vAlign w:val="center"/>
          </w:tcPr>
          <w:p w14:paraId="1C9BA5C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327C36">
            <w:pPr>
              <w:rPr>
                <w:rFonts w:cs="Times New Roman"/>
                <w:kern w:val="0"/>
                <w:sz w:val="20"/>
                <w:szCs w:val="20"/>
              </w:rPr>
            </w:pPr>
            <w:r>
              <w:rPr>
                <w:rFonts w:hint="eastAsia" w:cs="Times New Roman"/>
                <w:kern w:val="0"/>
                <w:sz w:val="20"/>
                <w:szCs w:val="20"/>
              </w:rPr>
              <w:t>XX</w:t>
            </w:r>
          </w:p>
        </w:tc>
      </w:tr>
      <w:tr w14:paraId="71559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200C2C">
            <w:pPr>
              <w:rPr>
                <w:rFonts w:cs="Times New Roman"/>
                <w:kern w:val="0"/>
                <w:sz w:val="20"/>
                <w:szCs w:val="20"/>
              </w:rPr>
            </w:pPr>
            <w:r>
              <w:rPr>
                <w:rFonts w:cs="Times New Roman"/>
                <w:kern w:val="0"/>
                <w:sz w:val="20"/>
                <w:szCs w:val="20"/>
              </w:rPr>
              <w:t>ZEZ</w:t>
            </w:r>
          </w:p>
        </w:tc>
        <w:tc>
          <w:tcPr>
            <w:tcW w:w="1226" w:type="pct"/>
            <w:shd w:val="clear" w:color="auto" w:fill="auto"/>
            <w:noWrap/>
            <w:vAlign w:val="center"/>
          </w:tcPr>
          <w:p w14:paraId="197FCF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744469B">
            <w:pPr>
              <w:rPr>
                <w:rFonts w:cs="Times New Roman"/>
                <w:kern w:val="0"/>
                <w:sz w:val="20"/>
                <w:szCs w:val="20"/>
              </w:rPr>
            </w:pPr>
            <w:r>
              <w:rPr>
                <w:rFonts w:hint="eastAsia" w:cs="Times New Roman"/>
                <w:kern w:val="0"/>
                <w:sz w:val="20"/>
                <w:szCs w:val="20"/>
              </w:rPr>
              <w:t>XX</w:t>
            </w:r>
          </w:p>
        </w:tc>
      </w:tr>
      <w:tr w14:paraId="1A259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CA4ACFA">
            <w:pPr>
              <w:rPr>
                <w:rFonts w:cs="Times New Roman"/>
                <w:kern w:val="0"/>
                <w:sz w:val="20"/>
                <w:szCs w:val="20"/>
              </w:rPr>
            </w:pPr>
            <w:r>
              <w:rPr>
                <w:rFonts w:cs="Times New Roman"/>
                <w:kern w:val="0"/>
                <w:sz w:val="20"/>
                <w:szCs w:val="20"/>
              </w:rPr>
              <w:t>ACPES</w:t>
            </w:r>
          </w:p>
        </w:tc>
        <w:tc>
          <w:tcPr>
            <w:tcW w:w="1226" w:type="pct"/>
            <w:shd w:val="clear" w:color="auto" w:fill="auto"/>
            <w:noWrap/>
            <w:vAlign w:val="center"/>
          </w:tcPr>
          <w:p w14:paraId="548CE7C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A4D253">
            <w:pPr>
              <w:rPr>
                <w:rFonts w:cs="Times New Roman"/>
                <w:kern w:val="0"/>
                <w:sz w:val="20"/>
                <w:szCs w:val="20"/>
              </w:rPr>
            </w:pPr>
            <w:r>
              <w:rPr>
                <w:rFonts w:hint="eastAsia" w:cs="Times New Roman"/>
                <w:kern w:val="0"/>
                <w:sz w:val="20"/>
                <w:szCs w:val="20"/>
              </w:rPr>
              <w:t>XX</w:t>
            </w:r>
          </w:p>
        </w:tc>
      </w:tr>
      <w:tr w14:paraId="27674F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4C1632">
            <w:pPr>
              <w:rPr>
                <w:rFonts w:cs="Times New Roman"/>
                <w:kern w:val="0"/>
                <w:sz w:val="20"/>
                <w:szCs w:val="20"/>
              </w:rPr>
            </w:pPr>
            <w:r>
              <w:rPr>
                <w:rFonts w:cs="Times New Roman"/>
                <w:kern w:val="0"/>
                <w:sz w:val="20"/>
                <w:szCs w:val="20"/>
              </w:rPr>
              <w:t>CIRCUTOR</w:t>
            </w:r>
          </w:p>
        </w:tc>
        <w:tc>
          <w:tcPr>
            <w:tcW w:w="1226" w:type="pct"/>
            <w:shd w:val="clear" w:color="auto" w:fill="auto"/>
            <w:noWrap/>
            <w:vAlign w:val="center"/>
          </w:tcPr>
          <w:p w14:paraId="71FC3F7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51AFCF6">
            <w:pPr>
              <w:rPr>
                <w:rFonts w:cs="Times New Roman"/>
                <w:kern w:val="0"/>
                <w:sz w:val="20"/>
                <w:szCs w:val="20"/>
              </w:rPr>
            </w:pPr>
            <w:r>
              <w:rPr>
                <w:rFonts w:hint="eastAsia" w:cs="Times New Roman"/>
                <w:kern w:val="0"/>
                <w:sz w:val="20"/>
                <w:szCs w:val="20"/>
              </w:rPr>
              <w:t>XX</w:t>
            </w:r>
          </w:p>
        </w:tc>
      </w:tr>
      <w:tr w14:paraId="20647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1674488">
            <w:pPr>
              <w:rPr>
                <w:rFonts w:cs="Times New Roman"/>
                <w:kern w:val="0"/>
                <w:sz w:val="20"/>
                <w:szCs w:val="20"/>
              </w:rPr>
            </w:pPr>
            <w:r>
              <w:rPr>
                <w:rFonts w:cs="Times New Roman"/>
                <w:kern w:val="0"/>
                <w:sz w:val="20"/>
                <w:szCs w:val="20"/>
              </w:rPr>
              <w:t>COMAR</w:t>
            </w:r>
          </w:p>
        </w:tc>
        <w:tc>
          <w:tcPr>
            <w:tcW w:w="1226" w:type="pct"/>
            <w:shd w:val="clear" w:color="auto" w:fill="auto"/>
            <w:noWrap/>
            <w:vAlign w:val="center"/>
          </w:tcPr>
          <w:p w14:paraId="31BCFC3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A245F30">
            <w:pPr>
              <w:rPr>
                <w:rFonts w:cs="Times New Roman"/>
                <w:kern w:val="0"/>
                <w:sz w:val="20"/>
                <w:szCs w:val="20"/>
              </w:rPr>
            </w:pPr>
            <w:r>
              <w:rPr>
                <w:rFonts w:hint="eastAsia" w:cs="Times New Roman"/>
                <w:kern w:val="0"/>
                <w:sz w:val="20"/>
                <w:szCs w:val="20"/>
              </w:rPr>
              <w:t>XX</w:t>
            </w:r>
          </w:p>
        </w:tc>
      </w:tr>
      <w:tr w14:paraId="366A70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94652E9">
            <w:pPr>
              <w:rPr>
                <w:rFonts w:cs="Times New Roman"/>
                <w:kern w:val="0"/>
                <w:sz w:val="20"/>
                <w:szCs w:val="20"/>
              </w:rPr>
            </w:pPr>
            <w:r>
              <w:rPr>
                <w:rFonts w:cs="Times New Roman"/>
                <w:kern w:val="0"/>
                <w:sz w:val="20"/>
                <w:szCs w:val="20"/>
              </w:rPr>
              <w:t>Franke GMKP</w:t>
            </w:r>
          </w:p>
        </w:tc>
        <w:tc>
          <w:tcPr>
            <w:tcW w:w="1226" w:type="pct"/>
            <w:shd w:val="clear" w:color="auto" w:fill="auto"/>
            <w:noWrap/>
            <w:vAlign w:val="center"/>
          </w:tcPr>
          <w:p w14:paraId="29E784F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1E4ED25">
            <w:pPr>
              <w:rPr>
                <w:rFonts w:cs="Times New Roman"/>
                <w:kern w:val="0"/>
                <w:sz w:val="20"/>
                <w:szCs w:val="20"/>
              </w:rPr>
            </w:pPr>
            <w:r>
              <w:rPr>
                <w:rFonts w:hint="eastAsia" w:cs="Times New Roman"/>
                <w:kern w:val="0"/>
                <w:sz w:val="20"/>
                <w:szCs w:val="20"/>
              </w:rPr>
              <w:t>XX</w:t>
            </w:r>
          </w:p>
        </w:tc>
      </w:tr>
      <w:tr w14:paraId="2E555E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C5C1A46">
            <w:pPr>
              <w:rPr>
                <w:rFonts w:cs="Times New Roman"/>
                <w:kern w:val="0"/>
                <w:sz w:val="20"/>
                <w:szCs w:val="20"/>
              </w:rPr>
            </w:pPr>
            <w:r>
              <w:rPr>
                <w:rFonts w:cs="Times New Roman"/>
                <w:kern w:val="0"/>
                <w:sz w:val="20"/>
                <w:szCs w:val="20"/>
              </w:rPr>
              <w:t>AB Power System</w:t>
            </w:r>
          </w:p>
        </w:tc>
        <w:tc>
          <w:tcPr>
            <w:tcW w:w="1226" w:type="pct"/>
            <w:shd w:val="clear" w:color="auto" w:fill="auto"/>
            <w:noWrap/>
            <w:vAlign w:val="center"/>
          </w:tcPr>
          <w:p w14:paraId="6468AE1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EABCB0">
            <w:pPr>
              <w:rPr>
                <w:rFonts w:cs="Times New Roman"/>
                <w:kern w:val="0"/>
                <w:sz w:val="20"/>
                <w:szCs w:val="20"/>
              </w:rPr>
            </w:pPr>
            <w:r>
              <w:rPr>
                <w:rFonts w:hint="eastAsia" w:cs="Times New Roman"/>
                <w:kern w:val="0"/>
                <w:sz w:val="20"/>
                <w:szCs w:val="20"/>
              </w:rPr>
              <w:t>XX</w:t>
            </w:r>
          </w:p>
        </w:tc>
      </w:tr>
      <w:tr w14:paraId="240347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C205859">
            <w:pPr>
              <w:rPr>
                <w:rFonts w:cs="Times New Roman"/>
                <w:kern w:val="0"/>
                <w:sz w:val="20"/>
                <w:szCs w:val="20"/>
              </w:rPr>
            </w:pPr>
            <w:r>
              <w:rPr>
                <w:rFonts w:cs="Times New Roman"/>
                <w:kern w:val="0"/>
                <w:sz w:val="20"/>
                <w:szCs w:val="20"/>
              </w:rPr>
              <w:t>KBR</w:t>
            </w:r>
          </w:p>
        </w:tc>
        <w:tc>
          <w:tcPr>
            <w:tcW w:w="1226" w:type="pct"/>
            <w:shd w:val="clear" w:color="auto" w:fill="auto"/>
            <w:noWrap/>
            <w:vAlign w:val="center"/>
          </w:tcPr>
          <w:p w14:paraId="1FEA001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1216D8">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欧洲市场固定功率电容器竞争格局</w:t>
      </w:r>
      <w:bookmarkEnd w:id="123"/>
    </w:p>
    <w:bookmarkEnd w:id="111"/>
    <w:bookmarkEnd w:id="112"/>
    <w:bookmarkEnd w:id="113"/>
    <w:p w14:paraId="34DB39B1">
      <w:pPr>
        <w:pStyle w:val="4"/>
      </w:pPr>
      <w:bookmarkStart w:id="124" w:name="_Toc167094643"/>
      <w:r>
        <w:rPr>
          <w:rFonts w:hint="eastAsia"/>
        </w:rPr>
        <w:t>欧洲市场主要厂商</w:t>
      </w:r>
      <w:r>
        <w:t>固定功率电容器</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固定功率电容器</w:t>
      </w:r>
      <w:r>
        <w:rPr>
          <w:rFonts w:hint="eastAsia"/>
        </w:rPr>
        <w:t>销量</w:t>
      </w:r>
      <w:bookmarkEnd w:id="125"/>
      <w:bookmarkEnd w:id="126"/>
      <w:r>
        <w:rPr>
          <w:rFonts w:hint="eastAsia"/>
        </w:rPr>
        <w:t>（2019-2024）&amp;（兆乏）</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Nissin Electric</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China XD</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Siyuan</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Guilin Power Capacitor</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Electronicon</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GE Grid Solutions</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Herong Electric</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New Northeast Electric</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TDK</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L&amp;T</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LIFASA</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84E3FD">
            <w:pPr>
              <w:pStyle w:val="149"/>
              <w:widowControl w:val="0"/>
              <w:jc w:val="both"/>
              <w:rPr>
                <w:rFonts w:cs="Times New Roman"/>
                <w:sz w:val="20"/>
              </w:rPr>
            </w:pPr>
            <w:r>
              <w:rPr>
                <w:rFonts w:cs="Times New Roman"/>
                <w:sz w:val="20"/>
              </w:rPr>
              <w:t>Shreem Electric</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50A75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BC3413">
            <w:pPr>
              <w:pStyle w:val="149"/>
              <w:widowControl w:val="0"/>
              <w:jc w:val="both"/>
              <w:rPr>
                <w:rFonts w:cs="Times New Roman"/>
                <w:sz w:val="20"/>
              </w:rPr>
            </w:pPr>
            <w:r>
              <w:rPr>
                <w:rFonts w:cs="Times New Roman"/>
                <w:sz w:val="20"/>
              </w:rPr>
              <w:t>Frako</w:t>
            </w:r>
          </w:p>
        </w:tc>
        <w:tc>
          <w:tcPr>
            <w:tcW w:w="606" w:type="pct"/>
            <w:shd w:val="clear" w:color="auto" w:fill="auto"/>
            <w:vAlign w:val="center"/>
          </w:tcPr>
          <w:p w14:paraId="572692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DCB103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39306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271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CDE65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D0B2C18">
            <w:pPr>
              <w:pStyle w:val="149"/>
              <w:widowControl w:val="0"/>
              <w:jc w:val="right"/>
              <w:rPr>
                <w:rFonts w:cs="Times New Roman"/>
                <w:sz w:val="20"/>
              </w:rPr>
            </w:pPr>
            <w:r>
              <w:rPr>
                <w:rFonts w:hint="eastAsia" w:cs="Times New Roman"/>
                <w:sz w:val="20"/>
              </w:rPr>
              <w:t>XX</w:t>
            </w:r>
          </w:p>
        </w:tc>
      </w:tr>
      <w:tr w14:paraId="441D5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FF2706">
            <w:pPr>
              <w:pStyle w:val="149"/>
              <w:widowControl w:val="0"/>
              <w:jc w:val="both"/>
              <w:rPr>
                <w:rFonts w:cs="Times New Roman"/>
                <w:sz w:val="20"/>
              </w:rPr>
            </w:pPr>
            <w:r>
              <w:rPr>
                <w:rFonts w:cs="Times New Roman"/>
                <w:sz w:val="20"/>
              </w:rPr>
              <w:t>RTR</w:t>
            </w:r>
          </w:p>
        </w:tc>
        <w:tc>
          <w:tcPr>
            <w:tcW w:w="606" w:type="pct"/>
            <w:shd w:val="clear" w:color="auto" w:fill="auto"/>
            <w:vAlign w:val="center"/>
          </w:tcPr>
          <w:p w14:paraId="0088EB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FCF6EF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DFBB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2888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0E85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F2045A9">
            <w:pPr>
              <w:pStyle w:val="149"/>
              <w:widowControl w:val="0"/>
              <w:jc w:val="right"/>
              <w:rPr>
                <w:rFonts w:cs="Times New Roman"/>
                <w:sz w:val="20"/>
              </w:rPr>
            </w:pPr>
            <w:r>
              <w:rPr>
                <w:rFonts w:hint="eastAsia" w:cs="Times New Roman"/>
                <w:sz w:val="20"/>
              </w:rPr>
              <w:t>XX</w:t>
            </w:r>
          </w:p>
        </w:tc>
      </w:tr>
      <w:tr w14:paraId="7B231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056636">
            <w:pPr>
              <w:pStyle w:val="149"/>
              <w:widowControl w:val="0"/>
              <w:jc w:val="both"/>
              <w:rPr>
                <w:rFonts w:cs="Times New Roman"/>
                <w:sz w:val="20"/>
              </w:rPr>
            </w:pPr>
            <w:r>
              <w:rPr>
                <w:rFonts w:cs="Times New Roman"/>
                <w:sz w:val="20"/>
              </w:rPr>
              <w:t>ICAR</w:t>
            </w:r>
          </w:p>
        </w:tc>
        <w:tc>
          <w:tcPr>
            <w:tcW w:w="606" w:type="pct"/>
            <w:shd w:val="clear" w:color="auto" w:fill="auto"/>
            <w:vAlign w:val="center"/>
          </w:tcPr>
          <w:p w14:paraId="2B2EF9D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4336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E7A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BF21A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7BD78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C08DD6A">
            <w:pPr>
              <w:pStyle w:val="149"/>
              <w:widowControl w:val="0"/>
              <w:jc w:val="right"/>
              <w:rPr>
                <w:rFonts w:cs="Times New Roman"/>
                <w:sz w:val="20"/>
              </w:rPr>
            </w:pPr>
            <w:r>
              <w:rPr>
                <w:rFonts w:hint="eastAsia" w:cs="Times New Roman"/>
                <w:sz w:val="20"/>
              </w:rPr>
              <w:t>XX</w:t>
            </w:r>
          </w:p>
        </w:tc>
      </w:tr>
      <w:tr w14:paraId="3902C4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C42DA0B">
            <w:pPr>
              <w:pStyle w:val="149"/>
              <w:widowControl w:val="0"/>
              <w:jc w:val="both"/>
              <w:rPr>
                <w:rFonts w:cs="Times New Roman"/>
                <w:sz w:val="20"/>
              </w:rPr>
            </w:pPr>
            <w:r>
              <w:rPr>
                <w:rFonts w:cs="Times New Roman"/>
                <w:sz w:val="20"/>
              </w:rPr>
              <w:t>DUCATI</w:t>
            </w:r>
          </w:p>
        </w:tc>
        <w:tc>
          <w:tcPr>
            <w:tcW w:w="606" w:type="pct"/>
            <w:shd w:val="clear" w:color="auto" w:fill="auto"/>
            <w:vAlign w:val="center"/>
          </w:tcPr>
          <w:p w14:paraId="7BB39A7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3958C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F1E2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04E54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8DBF1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8BBD5B7">
            <w:pPr>
              <w:pStyle w:val="149"/>
              <w:widowControl w:val="0"/>
              <w:jc w:val="right"/>
              <w:rPr>
                <w:rFonts w:cs="Times New Roman"/>
                <w:sz w:val="20"/>
              </w:rPr>
            </w:pPr>
            <w:r>
              <w:rPr>
                <w:rFonts w:hint="eastAsia" w:cs="Times New Roman"/>
                <w:sz w:val="20"/>
              </w:rPr>
              <w:t>XX</w:t>
            </w:r>
          </w:p>
        </w:tc>
      </w:tr>
      <w:tr w14:paraId="6DA51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4093C4">
            <w:pPr>
              <w:pStyle w:val="149"/>
              <w:widowControl w:val="0"/>
              <w:jc w:val="both"/>
              <w:rPr>
                <w:rFonts w:cs="Times New Roman"/>
                <w:sz w:val="20"/>
              </w:rPr>
            </w:pPr>
            <w:r>
              <w:rPr>
                <w:rFonts w:cs="Times New Roman"/>
                <w:sz w:val="20"/>
              </w:rPr>
              <w:t>ZEZ</w:t>
            </w:r>
          </w:p>
        </w:tc>
        <w:tc>
          <w:tcPr>
            <w:tcW w:w="606" w:type="pct"/>
            <w:shd w:val="clear" w:color="auto" w:fill="auto"/>
            <w:vAlign w:val="center"/>
          </w:tcPr>
          <w:p w14:paraId="5A719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635FA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5AAF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3873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683BC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CAFEFE">
            <w:pPr>
              <w:pStyle w:val="149"/>
              <w:widowControl w:val="0"/>
              <w:jc w:val="right"/>
              <w:rPr>
                <w:rFonts w:cs="Times New Roman"/>
                <w:sz w:val="20"/>
              </w:rPr>
            </w:pPr>
            <w:r>
              <w:rPr>
                <w:rFonts w:hint="eastAsia" w:cs="Times New Roman"/>
                <w:sz w:val="20"/>
              </w:rPr>
              <w:t>XX</w:t>
            </w:r>
          </w:p>
        </w:tc>
      </w:tr>
      <w:tr w14:paraId="73D0B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6C2A36">
            <w:pPr>
              <w:pStyle w:val="149"/>
              <w:widowControl w:val="0"/>
              <w:jc w:val="both"/>
              <w:rPr>
                <w:rFonts w:cs="Times New Roman"/>
                <w:sz w:val="20"/>
              </w:rPr>
            </w:pPr>
            <w:r>
              <w:rPr>
                <w:rFonts w:cs="Times New Roman"/>
                <w:sz w:val="20"/>
              </w:rPr>
              <w:t>ACPES</w:t>
            </w:r>
          </w:p>
        </w:tc>
        <w:tc>
          <w:tcPr>
            <w:tcW w:w="606" w:type="pct"/>
            <w:shd w:val="clear" w:color="auto" w:fill="auto"/>
            <w:vAlign w:val="center"/>
          </w:tcPr>
          <w:p w14:paraId="3A9C5C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A199D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9888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FFEB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1CB181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8A00C">
            <w:pPr>
              <w:pStyle w:val="149"/>
              <w:widowControl w:val="0"/>
              <w:jc w:val="right"/>
              <w:rPr>
                <w:rFonts w:cs="Times New Roman"/>
                <w:sz w:val="20"/>
              </w:rPr>
            </w:pPr>
            <w:r>
              <w:rPr>
                <w:rFonts w:hint="eastAsia" w:cs="Times New Roman"/>
                <w:sz w:val="20"/>
              </w:rPr>
              <w:t>XX</w:t>
            </w:r>
          </w:p>
        </w:tc>
      </w:tr>
      <w:tr w14:paraId="558B01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031EB6">
            <w:pPr>
              <w:pStyle w:val="149"/>
              <w:widowControl w:val="0"/>
              <w:jc w:val="both"/>
              <w:rPr>
                <w:rFonts w:cs="Times New Roman"/>
                <w:sz w:val="20"/>
              </w:rPr>
            </w:pPr>
            <w:r>
              <w:rPr>
                <w:rFonts w:cs="Times New Roman"/>
                <w:sz w:val="20"/>
              </w:rPr>
              <w:t>CIRCUTOR</w:t>
            </w:r>
          </w:p>
        </w:tc>
        <w:tc>
          <w:tcPr>
            <w:tcW w:w="606" w:type="pct"/>
            <w:shd w:val="clear" w:color="auto" w:fill="auto"/>
            <w:vAlign w:val="center"/>
          </w:tcPr>
          <w:p w14:paraId="77BE066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00898E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4DE969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43A29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C1CB1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898B600">
            <w:pPr>
              <w:pStyle w:val="149"/>
              <w:widowControl w:val="0"/>
              <w:jc w:val="right"/>
              <w:rPr>
                <w:rFonts w:cs="Times New Roman"/>
                <w:sz w:val="20"/>
              </w:rPr>
            </w:pPr>
            <w:r>
              <w:rPr>
                <w:rFonts w:hint="eastAsia" w:cs="Times New Roman"/>
                <w:sz w:val="20"/>
              </w:rPr>
              <w:t>XX</w:t>
            </w:r>
          </w:p>
        </w:tc>
      </w:tr>
      <w:tr w14:paraId="7C2F02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0D3F372">
            <w:pPr>
              <w:pStyle w:val="149"/>
              <w:widowControl w:val="0"/>
              <w:jc w:val="both"/>
              <w:rPr>
                <w:rFonts w:cs="Times New Roman"/>
                <w:sz w:val="20"/>
              </w:rPr>
            </w:pPr>
            <w:r>
              <w:rPr>
                <w:rFonts w:cs="Times New Roman"/>
                <w:sz w:val="20"/>
              </w:rPr>
              <w:t>COMAR</w:t>
            </w:r>
          </w:p>
        </w:tc>
        <w:tc>
          <w:tcPr>
            <w:tcW w:w="606" w:type="pct"/>
            <w:shd w:val="clear" w:color="auto" w:fill="auto"/>
            <w:vAlign w:val="center"/>
          </w:tcPr>
          <w:p w14:paraId="6E2F4D0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AB05F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10E1D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B410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FE054B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1EFF24">
            <w:pPr>
              <w:pStyle w:val="149"/>
              <w:widowControl w:val="0"/>
              <w:jc w:val="right"/>
              <w:rPr>
                <w:rFonts w:cs="Times New Roman"/>
                <w:sz w:val="20"/>
              </w:rPr>
            </w:pPr>
            <w:r>
              <w:rPr>
                <w:rFonts w:hint="eastAsia" w:cs="Times New Roman"/>
                <w:sz w:val="20"/>
              </w:rPr>
              <w:t>XX</w:t>
            </w:r>
          </w:p>
        </w:tc>
      </w:tr>
      <w:tr w14:paraId="78C056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2778E40">
            <w:pPr>
              <w:pStyle w:val="149"/>
              <w:widowControl w:val="0"/>
              <w:jc w:val="both"/>
              <w:rPr>
                <w:rFonts w:cs="Times New Roman"/>
                <w:sz w:val="20"/>
              </w:rPr>
            </w:pPr>
            <w:r>
              <w:rPr>
                <w:rFonts w:cs="Times New Roman"/>
                <w:sz w:val="20"/>
              </w:rPr>
              <w:t>Franke GMKP</w:t>
            </w:r>
          </w:p>
        </w:tc>
        <w:tc>
          <w:tcPr>
            <w:tcW w:w="606" w:type="pct"/>
            <w:shd w:val="clear" w:color="auto" w:fill="auto"/>
            <w:vAlign w:val="center"/>
          </w:tcPr>
          <w:p w14:paraId="2F98FE1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58DE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5E76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E3BEB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918653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7EF0C87">
            <w:pPr>
              <w:pStyle w:val="149"/>
              <w:widowControl w:val="0"/>
              <w:jc w:val="right"/>
              <w:rPr>
                <w:rFonts w:cs="Times New Roman"/>
                <w:sz w:val="20"/>
              </w:rPr>
            </w:pPr>
            <w:r>
              <w:rPr>
                <w:rFonts w:hint="eastAsia" w:cs="Times New Roman"/>
                <w:sz w:val="20"/>
              </w:rPr>
              <w:t>XX</w:t>
            </w:r>
          </w:p>
        </w:tc>
      </w:tr>
      <w:tr w14:paraId="6D53D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5D4CC86">
            <w:pPr>
              <w:pStyle w:val="149"/>
              <w:widowControl w:val="0"/>
              <w:jc w:val="both"/>
              <w:rPr>
                <w:rFonts w:cs="Times New Roman"/>
                <w:sz w:val="20"/>
              </w:rPr>
            </w:pPr>
            <w:r>
              <w:rPr>
                <w:rFonts w:cs="Times New Roman"/>
                <w:sz w:val="20"/>
              </w:rPr>
              <w:t>AB Power System</w:t>
            </w:r>
          </w:p>
        </w:tc>
        <w:tc>
          <w:tcPr>
            <w:tcW w:w="606" w:type="pct"/>
            <w:shd w:val="clear" w:color="auto" w:fill="auto"/>
            <w:vAlign w:val="center"/>
          </w:tcPr>
          <w:p w14:paraId="4FB6EA2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74199D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84F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000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5B3F8E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5F768D">
            <w:pPr>
              <w:pStyle w:val="149"/>
              <w:widowControl w:val="0"/>
              <w:jc w:val="right"/>
              <w:rPr>
                <w:rFonts w:cs="Times New Roman"/>
                <w:sz w:val="20"/>
              </w:rPr>
            </w:pPr>
            <w:r>
              <w:rPr>
                <w:rFonts w:hint="eastAsia" w:cs="Times New Roman"/>
                <w:sz w:val="20"/>
              </w:rPr>
              <w:t>XX</w:t>
            </w:r>
          </w:p>
        </w:tc>
      </w:tr>
      <w:tr w14:paraId="362D12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453F4689">
            <w:pPr>
              <w:pStyle w:val="149"/>
              <w:widowControl w:val="0"/>
              <w:jc w:val="both"/>
              <w:rPr>
                <w:rFonts w:cs="Times New Roman"/>
                <w:sz w:val="20"/>
              </w:rPr>
            </w:pPr>
            <w:r>
              <w:rPr>
                <w:rFonts w:cs="Times New Roman"/>
                <w:sz w:val="20"/>
              </w:rPr>
              <w:t>KBR</w:t>
            </w:r>
          </w:p>
        </w:tc>
        <w:tc>
          <w:tcPr>
            <w:tcW w:w="606" w:type="pct"/>
            <w:shd w:val="clear" w:color="auto" w:fill="auto"/>
            <w:vAlign w:val="center"/>
          </w:tcPr>
          <w:p w14:paraId="2781D1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A4B623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04A7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A3AE8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C6AC1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9DFE2E">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固定功率电容器</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67094568"/>
      <w:bookmarkStart w:id="133" w:name="_Toc121583628"/>
      <w:r>
        <w:rPr>
          <w:rFonts w:hint="eastAsia"/>
        </w:rPr>
        <w:t>欧洲市场主要厂商</w:t>
      </w:r>
      <w:r>
        <w:t>固定功率电容器</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ABB</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Schneider Electric</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Eaton</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Nissin Electric</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China XD</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Siyuan</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Guilin Power Capacitor</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Electronicon</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GE Grid Solutions</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Herong Electric</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New Northeast Electric</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TDK</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Vishay</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L&amp;T</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LIFASA</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2D0856">
            <w:pPr>
              <w:pStyle w:val="149"/>
              <w:widowControl w:val="0"/>
              <w:jc w:val="both"/>
              <w:rPr>
                <w:rFonts w:cs="Times New Roman"/>
                <w:sz w:val="20"/>
              </w:rPr>
            </w:pPr>
            <w:r>
              <w:rPr>
                <w:rFonts w:cs="Times New Roman"/>
                <w:sz w:val="20"/>
              </w:rPr>
              <w:t>Shreem Electric</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47A34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1D834C">
            <w:pPr>
              <w:pStyle w:val="149"/>
              <w:widowControl w:val="0"/>
              <w:jc w:val="both"/>
              <w:rPr>
                <w:rFonts w:cs="Times New Roman"/>
                <w:sz w:val="20"/>
              </w:rPr>
            </w:pPr>
            <w:r>
              <w:rPr>
                <w:rFonts w:cs="Times New Roman"/>
                <w:sz w:val="20"/>
              </w:rPr>
              <w:t>Frako</w:t>
            </w:r>
          </w:p>
        </w:tc>
        <w:tc>
          <w:tcPr>
            <w:tcW w:w="602" w:type="pct"/>
            <w:shd w:val="clear" w:color="auto" w:fill="auto"/>
            <w:vAlign w:val="center"/>
          </w:tcPr>
          <w:p w14:paraId="1042BE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8757D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4268A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B52DA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9A428F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C57842">
            <w:pPr>
              <w:pStyle w:val="149"/>
              <w:widowControl w:val="0"/>
              <w:jc w:val="right"/>
              <w:rPr>
                <w:rFonts w:cs="Times New Roman"/>
                <w:sz w:val="20"/>
              </w:rPr>
            </w:pPr>
            <w:r>
              <w:rPr>
                <w:rFonts w:hint="eastAsia" w:cs="Times New Roman"/>
                <w:sz w:val="20"/>
              </w:rPr>
              <w:t>XX</w:t>
            </w:r>
            <w:r>
              <w:rPr>
                <w:rFonts w:cs="Times New Roman"/>
                <w:sz w:val="20"/>
              </w:rPr>
              <w:t>%</w:t>
            </w:r>
          </w:p>
        </w:tc>
      </w:tr>
      <w:tr w14:paraId="6DB48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E4B79AD">
            <w:pPr>
              <w:pStyle w:val="149"/>
              <w:widowControl w:val="0"/>
              <w:jc w:val="both"/>
              <w:rPr>
                <w:rFonts w:cs="Times New Roman"/>
                <w:sz w:val="20"/>
              </w:rPr>
            </w:pPr>
            <w:r>
              <w:rPr>
                <w:rFonts w:cs="Times New Roman"/>
                <w:sz w:val="20"/>
              </w:rPr>
              <w:t>RTR</w:t>
            </w:r>
          </w:p>
        </w:tc>
        <w:tc>
          <w:tcPr>
            <w:tcW w:w="602" w:type="pct"/>
            <w:shd w:val="clear" w:color="auto" w:fill="auto"/>
            <w:vAlign w:val="center"/>
          </w:tcPr>
          <w:p w14:paraId="1087CEC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151FA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66B542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E8949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3DEE0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569C3C">
            <w:pPr>
              <w:pStyle w:val="149"/>
              <w:widowControl w:val="0"/>
              <w:jc w:val="right"/>
              <w:rPr>
                <w:rFonts w:cs="Times New Roman"/>
                <w:sz w:val="20"/>
              </w:rPr>
            </w:pPr>
            <w:r>
              <w:rPr>
                <w:rFonts w:hint="eastAsia" w:cs="Times New Roman"/>
                <w:sz w:val="20"/>
              </w:rPr>
              <w:t>XX</w:t>
            </w:r>
            <w:r>
              <w:rPr>
                <w:rFonts w:cs="Times New Roman"/>
                <w:sz w:val="20"/>
              </w:rPr>
              <w:t>%</w:t>
            </w:r>
          </w:p>
        </w:tc>
      </w:tr>
      <w:tr w14:paraId="1F05F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27F604">
            <w:pPr>
              <w:pStyle w:val="149"/>
              <w:widowControl w:val="0"/>
              <w:jc w:val="both"/>
              <w:rPr>
                <w:rFonts w:cs="Times New Roman"/>
                <w:sz w:val="20"/>
              </w:rPr>
            </w:pPr>
            <w:r>
              <w:rPr>
                <w:rFonts w:cs="Times New Roman"/>
                <w:sz w:val="20"/>
              </w:rPr>
              <w:t>ICAR</w:t>
            </w:r>
          </w:p>
        </w:tc>
        <w:tc>
          <w:tcPr>
            <w:tcW w:w="602" w:type="pct"/>
            <w:shd w:val="clear" w:color="auto" w:fill="auto"/>
            <w:vAlign w:val="center"/>
          </w:tcPr>
          <w:p w14:paraId="3515D50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9AB57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72FEE4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4D5943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0A36A60">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834DCC2">
            <w:pPr>
              <w:pStyle w:val="149"/>
              <w:widowControl w:val="0"/>
              <w:jc w:val="right"/>
              <w:rPr>
                <w:rFonts w:cs="Times New Roman"/>
                <w:sz w:val="20"/>
              </w:rPr>
            </w:pPr>
            <w:r>
              <w:rPr>
                <w:rFonts w:hint="eastAsia" w:cs="Times New Roman"/>
                <w:sz w:val="20"/>
              </w:rPr>
              <w:t>XX</w:t>
            </w:r>
            <w:r>
              <w:rPr>
                <w:rFonts w:cs="Times New Roman"/>
                <w:sz w:val="20"/>
              </w:rPr>
              <w:t>%</w:t>
            </w:r>
          </w:p>
        </w:tc>
      </w:tr>
      <w:tr w14:paraId="2199D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E043CA">
            <w:pPr>
              <w:pStyle w:val="149"/>
              <w:widowControl w:val="0"/>
              <w:jc w:val="both"/>
              <w:rPr>
                <w:rFonts w:cs="Times New Roman"/>
                <w:sz w:val="20"/>
              </w:rPr>
            </w:pPr>
            <w:r>
              <w:rPr>
                <w:rFonts w:cs="Times New Roman"/>
                <w:sz w:val="20"/>
              </w:rPr>
              <w:t>DUCATI</w:t>
            </w:r>
          </w:p>
        </w:tc>
        <w:tc>
          <w:tcPr>
            <w:tcW w:w="602" w:type="pct"/>
            <w:shd w:val="clear" w:color="auto" w:fill="auto"/>
            <w:vAlign w:val="center"/>
          </w:tcPr>
          <w:p w14:paraId="53956E5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6B767F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51C061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F232D6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3926C7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58D2C0">
            <w:pPr>
              <w:pStyle w:val="149"/>
              <w:widowControl w:val="0"/>
              <w:jc w:val="right"/>
              <w:rPr>
                <w:rFonts w:cs="Times New Roman"/>
                <w:sz w:val="20"/>
              </w:rPr>
            </w:pPr>
            <w:r>
              <w:rPr>
                <w:rFonts w:hint="eastAsia" w:cs="Times New Roman"/>
                <w:sz w:val="20"/>
              </w:rPr>
              <w:t>XX</w:t>
            </w:r>
            <w:r>
              <w:rPr>
                <w:rFonts w:cs="Times New Roman"/>
                <w:sz w:val="20"/>
              </w:rPr>
              <w:t>%</w:t>
            </w:r>
          </w:p>
        </w:tc>
      </w:tr>
      <w:tr w14:paraId="15ECE4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54D5DF0">
            <w:pPr>
              <w:pStyle w:val="149"/>
              <w:widowControl w:val="0"/>
              <w:jc w:val="both"/>
              <w:rPr>
                <w:rFonts w:cs="Times New Roman"/>
                <w:sz w:val="20"/>
              </w:rPr>
            </w:pPr>
            <w:r>
              <w:rPr>
                <w:rFonts w:cs="Times New Roman"/>
                <w:sz w:val="20"/>
              </w:rPr>
              <w:t>ZEZ</w:t>
            </w:r>
          </w:p>
        </w:tc>
        <w:tc>
          <w:tcPr>
            <w:tcW w:w="602" w:type="pct"/>
            <w:shd w:val="clear" w:color="auto" w:fill="auto"/>
            <w:vAlign w:val="center"/>
          </w:tcPr>
          <w:p w14:paraId="241995E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498B75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1BDE76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D627A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059A3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FF9317F">
            <w:pPr>
              <w:pStyle w:val="149"/>
              <w:widowControl w:val="0"/>
              <w:jc w:val="right"/>
              <w:rPr>
                <w:rFonts w:cs="Times New Roman"/>
                <w:sz w:val="20"/>
              </w:rPr>
            </w:pPr>
            <w:r>
              <w:rPr>
                <w:rFonts w:hint="eastAsia" w:cs="Times New Roman"/>
                <w:sz w:val="20"/>
              </w:rPr>
              <w:t>XX</w:t>
            </w:r>
            <w:r>
              <w:rPr>
                <w:rFonts w:cs="Times New Roman"/>
                <w:sz w:val="20"/>
              </w:rPr>
              <w:t>%</w:t>
            </w:r>
          </w:p>
        </w:tc>
      </w:tr>
      <w:tr w14:paraId="1A8164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C00227D">
            <w:pPr>
              <w:pStyle w:val="149"/>
              <w:widowControl w:val="0"/>
              <w:jc w:val="both"/>
              <w:rPr>
                <w:rFonts w:cs="Times New Roman"/>
                <w:sz w:val="20"/>
              </w:rPr>
            </w:pPr>
            <w:r>
              <w:rPr>
                <w:rFonts w:cs="Times New Roman"/>
                <w:sz w:val="20"/>
              </w:rPr>
              <w:t>ACPES</w:t>
            </w:r>
          </w:p>
        </w:tc>
        <w:tc>
          <w:tcPr>
            <w:tcW w:w="602" w:type="pct"/>
            <w:shd w:val="clear" w:color="auto" w:fill="auto"/>
            <w:vAlign w:val="center"/>
          </w:tcPr>
          <w:p w14:paraId="6C37E32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71370B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D90D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4F3571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660596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953AF84">
            <w:pPr>
              <w:pStyle w:val="149"/>
              <w:widowControl w:val="0"/>
              <w:jc w:val="right"/>
              <w:rPr>
                <w:rFonts w:cs="Times New Roman"/>
                <w:sz w:val="20"/>
              </w:rPr>
            </w:pPr>
            <w:r>
              <w:rPr>
                <w:rFonts w:hint="eastAsia" w:cs="Times New Roman"/>
                <w:sz w:val="20"/>
              </w:rPr>
              <w:t>XX</w:t>
            </w:r>
            <w:r>
              <w:rPr>
                <w:rFonts w:cs="Times New Roman"/>
                <w:sz w:val="20"/>
              </w:rPr>
              <w:t>%</w:t>
            </w:r>
          </w:p>
        </w:tc>
      </w:tr>
      <w:tr w14:paraId="4D1871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0E61004">
            <w:pPr>
              <w:pStyle w:val="149"/>
              <w:widowControl w:val="0"/>
              <w:jc w:val="both"/>
              <w:rPr>
                <w:rFonts w:cs="Times New Roman"/>
                <w:sz w:val="20"/>
              </w:rPr>
            </w:pPr>
            <w:r>
              <w:rPr>
                <w:rFonts w:cs="Times New Roman"/>
                <w:sz w:val="20"/>
              </w:rPr>
              <w:t>CIRCUTOR</w:t>
            </w:r>
          </w:p>
        </w:tc>
        <w:tc>
          <w:tcPr>
            <w:tcW w:w="602" w:type="pct"/>
            <w:shd w:val="clear" w:color="auto" w:fill="auto"/>
            <w:vAlign w:val="center"/>
          </w:tcPr>
          <w:p w14:paraId="45015640">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F56A53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A0C681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902675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C4444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1FC74C6">
            <w:pPr>
              <w:pStyle w:val="149"/>
              <w:widowControl w:val="0"/>
              <w:jc w:val="right"/>
              <w:rPr>
                <w:rFonts w:cs="Times New Roman"/>
                <w:sz w:val="20"/>
              </w:rPr>
            </w:pPr>
            <w:r>
              <w:rPr>
                <w:rFonts w:hint="eastAsia" w:cs="Times New Roman"/>
                <w:sz w:val="20"/>
              </w:rPr>
              <w:t>XX</w:t>
            </w:r>
            <w:r>
              <w:rPr>
                <w:rFonts w:cs="Times New Roman"/>
                <w:sz w:val="20"/>
              </w:rPr>
              <w:t>%</w:t>
            </w:r>
          </w:p>
        </w:tc>
      </w:tr>
      <w:tr w14:paraId="79A08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DCCBD1B">
            <w:pPr>
              <w:pStyle w:val="149"/>
              <w:widowControl w:val="0"/>
              <w:jc w:val="both"/>
              <w:rPr>
                <w:rFonts w:cs="Times New Roman"/>
                <w:sz w:val="20"/>
              </w:rPr>
            </w:pPr>
            <w:r>
              <w:rPr>
                <w:rFonts w:cs="Times New Roman"/>
                <w:sz w:val="20"/>
              </w:rPr>
              <w:t>COMAR</w:t>
            </w:r>
          </w:p>
        </w:tc>
        <w:tc>
          <w:tcPr>
            <w:tcW w:w="602" w:type="pct"/>
            <w:shd w:val="clear" w:color="auto" w:fill="auto"/>
            <w:vAlign w:val="center"/>
          </w:tcPr>
          <w:p w14:paraId="727F90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D544E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AC008B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1BF9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03D92D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537D2D7">
            <w:pPr>
              <w:pStyle w:val="149"/>
              <w:widowControl w:val="0"/>
              <w:jc w:val="right"/>
              <w:rPr>
                <w:rFonts w:cs="Times New Roman"/>
                <w:sz w:val="20"/>
              </w:rPr>
            </w:pPr>
            <w:r>
              <w:rPr>
                <w:rFonts w:hint="eastAsia" w:cs="Times New Roman"/>
                <w:sz w:val="20"/>
              </w:rPr>
              <w:t>XX</w:t>
            </w:r>
            <w:r>
              <w:rPr>
                <w:rFonts w:cs="Times New Roman"/>
                <w:sz w:val="20"/>
              </w:rPr>
              <w:t>%</w:t>
            </w:r>
          </w:p>
        </w:tc>
      </w:tr>
      <w:tr w14:paraId="5715BA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EB0D711">
            <w:pPr>
              <w:pStyle w:val="149"/>
              <w:widowControl w:val="0"/>
              <w:jc w:val="both"/>
              <w:rPr>
                <w:rFonts w:cs="Times New Roman"/>
                <w:sz w:val="20"/>
              </w:rPr>
            </w:pPr>
            <w:r>
              <w:rPr>
                <w:rFonts w:cs="Times New Roman"/>
                <w:sz w:val="20"/>
              </w:rPr>
              <w:t>Franke GMKP</w:t>
            </w:r>
          </w:p>
        </w:tc>
        <w:tc>
          <w:tcPr>
            <w:tcW w:w="602" w:type="pct"/>
            <w:shd w:val="clear" w:color="auto" w:fill="auto"/>
            <w:vAlign w:val="center"/>
          </w:tcPr>
          <w:p w14:paraId="0137763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7BF5AB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3093C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6CCEF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D4BE60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C4FC74">
            <w:pPr>
              <w:pStyle w:val="149"/>
              <w:widowControl w:val="0"/>
              <w:jc w:val="right"/>
              <w:rPr>
                <w:rFonts w:cs="Times New Roman"/>
                <w:sz w:val="20"/>
              </w:rPr>
            </w:pPr>
            <w:r>
              <w:rPr>
                <w:rFonts w:hint="eastAsia" w:cs="Times New Roman"/>
                <w:sz w:val="20"/>
              </w:rPr>
              <w:t>XX</w:t>
            </w:r>
            <w:r>
              <w:rPr>
                <w:rFonts w:cs="Times New Roman"/>
                <w:sz w:val="20"/>
              </w:rPr>
              <w:t>%</w:t>
            </w:r>
          </w:p>
        </w:tc>
      </w:tr>
      <w:tr w14:paraId="4BB18F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79D7143">
            <w:pPr>
              <w:pStyle w:val="149"/>
              <w:widowControl w:val="0"/>
              <w:jc w:val="both"/>
              <w:rPr>
                <w:rFonts w:cs="Times New Roman"/>
                <w:sz w:val="20"/>
              </w:rPr>
            </w:pPr>
            <w:r>
              <w:rPr>
                <w:rFonts w:cs="Times New Roman"/>
                <w:sz w:val="20"/>
              </w:rPr>
              <w:t>AB Power System</w:t>
            </w:r>
          </w:p>
        </w:tc>
        <w:tc>
          <w:tcPr>
            <w:tcW w:w="602" w:type="pct"/>
            <w:shd w:val="clear" w:color="auto" w:fill="auto"/>
            <w:vAlign w:val="center"/>
          </w:tcPr>
          <w:p w14:paraId="6E0F01B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C286C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1BA49E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B1FE2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1710D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9271731">
            <w:pPr>
              <w:pStyle w:val="149"/>
              <w:widowControl w:val="0"/>
              <w:jc w:val="right"/>
              <w:rPr>
                <w:rFonts w:cs="Times New Roman"/>
                <w:sz w:val="20"/>
              </w:rPr>
            </w:pPr>
            <w:r>
              <w:rPr>
                <w:rFonts w:hint="eastAsia" w:cs="Times New Roman"/>
                <w:sz w:val="20"/>
              </w:rPr>
              <w:t>XX</w:t>
            </w:r>
            <w:r>
              <w:rPr>
                <w:rFonts w:cs="Times New Roman"/>
                <w:sz w:val="20"/>
              </w:rPr>
              <w:t>%</w:t>
            </w:r>
          </w:p>
        </w:tc>
      </w:tr>
      <w:tr w14:paraId="3B6F2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75CC1CFB">
            <w:pPr>
              <w:pStyle w:val="149"/>
              <w:widowControl w:val="0"/>
              <w:jc w:val="both"/>
              <w:rPr>
                <w:rFonts w:cs="Times New Roman"/>
                <w:sz w:val="20"/>
              </w:rPr>
            </w:pPr>
            <w:r>
              <w:rPr>
                <w:rFonts w:cs="Times New Roman"/>
                <w:sz w:val="20"/>
              </w:rPr>
              <w:t>KBR</w:t>
            </w:r>
          </w:p>
        </w:tc>
        <w:tc>
          <w:tcPr>
            <w:tcW w:w="602" w:type="pct"/>
            <w:shd w:val="clear" w:color="auto" w:fill="auto"/>
            <w:vAlign w:val="center"/>
          </w:tcPr>
          <w:p w14:paraId="3280B40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E8771A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D1F9F8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1370C8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7E869D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312BEF">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6780013"/>
      <w:bookmarkStart w:id="135" w:name="_Toc121583609"/>
      <w:bookmarkStart w:id="136" w:name="_Toc167094557"/>
      <w:bookmarkStart w:id="137" w:name="_Toc24028915"/>
      <w:r>
        <w:rPr>
          <w:rFonts w:hint="eastAsia"/>
        </w:rPr>
        <w:t>2023年欧洲市场主要厂商</w:t>
      </w:r>
      <w:r>
        <w:t>固定功率电容器</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67094645"/>
      <w:bookmarkStart w:id="141" w:name="_Toc121583898"/>
      <w:r>
        <w:rPr>
          <w:rFonts w:hint="eastAsia"/>
        </w:rPr>
        <w:t>欧洲市场主要厂商</w:t>
      </w:r>
      <w:r>
        <w:t>固定功率电容器收入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固定功率电容器收入</w:t>
      </w:r>
      <w:r>
        <w:rPr>
          <w:rFonts w:hint="eastAsia"/>
        </w:rPr>
        <w:t>（2019-2024）</w:t>
      </w:r>
      <w:bookmarkEnd w:id="142"/>
    </w:p>
    <w:p w14:paraId="24603FA7">
      <w:pPr>
        <w:pStyle w:val="132"/>
        <w:ind w:left="252" w:right="-105"/>
      </w:pPr>
      <w:bookmarkStart w:id="143" w:name="_Toc26780071"/>
      <w:bookmarkStart w:id="144" w:name="_Toc24028916"/>
      <w:bookmarkStart w:id="145" w:name="_Toc167094569"/>
      <w:bookmarkStart w:id="146" w:name="_Toc121583629"/>
      <w:r>
        <w:rPr>
          <w:rFonts w:hint="eastAsia"/>
        </w:rPr>
        <w:t>欧洲市场主要厂商</w:t>
      </w:r>
      <w:r>
        <w:t>固定功率电容器收入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Nissin Electric</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China XD</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Siyuan</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Guilin Power Capacitor</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Electronicon</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GE Grid Solutions</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Herong Electric</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New Northeast Electric</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TDK</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L&amp;T</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LIFASA</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8BADD8">
            <w:pPr>
              <w:pStyle w:val="149"/>
              <w:widowControl w:val="0"/>
              <w:jc w:val="both"/>
              <w:rPr>
                <w:rFonts w:cs="Times New Roman"/>
                <w:sz w:val="20"/>
              </w:rPr>
            </w:pPr>
            <w:r>
              <w:rPr>
                <w:rFonts w:cs="Times New Roman"/>
                <w:sz w:val="20"/>
              </w:rPr>
              <w:t>Shreem Electric</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8BEF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D7D136">
            <w:pPr>
              <w:pStyle w:val="149"/>
              <w:widowControl w:val="0"/>
              <w:jc w:val="both"/>
              <w:rPr>
                <w:rFonts w:cs="Times New Roman"/>
                <w:sz w:val="20"/>
              </w:rPr>
            </w:pPr>
            <w:r>
              <w:rPr>
                <w:rFonts w:cs="Times New Roman"/>
                <w:sz w:val="20"/>
              </w:rPr>
              <w:t>Frako</w:t>
            </w:r>
          </w:p>
        </w:tc>
        <w:tc>
          <w:tcPr>
            <w:tcW w:w="606" w:type="pct"/>
            <w:shd w:val="clear" w:color="auto" w:fill="auto"/>
            <w:vAlign w:val="center"/>
          </w:tcPr>
          <w:p w14:paraId="448210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C5E9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F9A5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F14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3BF8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EC602">
            <w:pPr>
              <w:pStyle w:val="149"/>
              <w:widowControl w:val="0"/>
              <w:jc w:val="right"/>
              <w:rPr>
                <w:rFonts w:cs="Times New Roman"/>
                <w:sz w:val="20"/>
              </w:rPr>
            </w:pPr>
            <w:r>
              <w:rPr>
                <w:rFonts w:hint="eastAsia" w:cs="Times New Roman"/>
                <w:sz w:val="20"/>
              </w:rPr>
              <w:t>XX</w:t>
            </w:r>
          </w:p>
        </w:tc>
      </w:tr>
      <w:tr w14:paraId="5F1D0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D8DAA2">
            <w:pPr>
              <w:pStyle w:val="149"/>
              <w:widowControl w:val="0"/>
              <w:jc w:val="both"/>
              <w:rPr>
                <w:rFonts w:cs="Times New Roman"/>
                <w:sz w:val="20"/>
              </w:rPr>
            </w:pPr>
            <w:r>
              <w:rPr>
                <w:rFonts w:cs="Times New Roman"/>
                <w:sz w:val="20"/>
              </w:rPr>
              <w:t>RTR</w:t>
            </w:r>
          </w:p>
        </w:tc>
        <w:tc>
          <w:tcPr>
            <w:tcW w:w="606" w:type="pct"/>
            <w:shd w:val="clear" w:color="auto" w:fill="auto"/>
            <w:vAlign w:val="center"/>
          </w:tcPr>
          <w:p w14:paraId="27487D7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0278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0CD16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7D89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19E084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6B16930">
            <w:pPr>
              <w:pStyle w:val="149"/>
              <w:widowControl w:val="0"/>
              <w:jc w:val="right"/>
              <w:rPr>
                <w:rFonts w:cs="Times New Roman"/>
                <w:sz w:val="20"/>
              </w:rPr>
            </w:pPr>
            <w:r>
              <w:rPr>
                <w:rFonts w:hint="eastAsia" w:cs="Times New Roman"/>
                <w:sz w:val="20"/>
              </w:rPr>
              <w:t>XX</w:t>
            </w:r>
          </w:p>
        </w:tc>
      </w:tr>
      <w:tr w14:paraId="0316D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803C853">
            <w:pPr>
              <w:pStyle w:val="149"/>
              <w:widowControl w:val="0"/>
              <w:jc w:val="both"/>
              <w:rPr>
                <w:rFonts w:cs="Times New Roman"/>
                <w:sz w:val="20"/>
              </w:rPr>
            </w:pPr>
            <w:r>
              <w:rPr>
                <w:rFonts w:cs="Times New Roman"/>
                <w:sz w:val="20"/>
              </w:rPr>
              <w:t>ICAR</w:t>
            </w:r>
          </w:p>
        </w:tc>
        <w:tc>
          <w:tcPr>
            <w:tcW w:w="606" w:type="pct"/>
            <w:shd w:val="clear" w:color="auto" w:fill="auto"/>
            <w:vAlign w:val="center"/>
          </w:tcPr>
          <w:p w14:paraId="4429062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DDAC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2257E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92AC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E71F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1A286B6">
            <w:pPr>
              <w:pStyle w:val="149"/>
              <w:widowControl w:val="0"/>
              <w:jc w:val="right"/>
              <w:rPr>
                <w:rFonts w:cs="Times New Roman"/>
                <w:sz w:val="20"/>
              </w:rPr>
            </w:pPr>
            <w:r>
              <w:rPr>
                <w:rFonts w:hint="eastAsia" w:cs="Times New Roman"/>
                <w:sz w:val="20"/>
              </w:rPr>
              <w:t>XX</w:t>
            </w:r>
          </w:p>
        </w:tc>
      </w:tr>
      <w:tr w14:paraId="5FA90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46868A">
            <w:pPr>
              <w:pStyle w:val="149"/>
              <w:widowControl w:val="0"/>
              <w:jc w:val="both"/>
              <w:rPr>
                <w:rFonts w:cs="Times New Roman"/>
                <w:sz w:val="20"/>
              </w:rPr>
            </w:pPr>
            <w:r>
              <w:rPr>
                <w:rFonts w:cs="Times New Roman"/>
                <w:sz w:val="20"/>
              </w:rPr>
              <w:t>DUCATI</w:t>
            </w:r>
          </w:p>
        </w:tc>
        <w:tc>
          <w:tcPr>
            <w:tcW w:w="606" w:type="pct"/>
            <w:shd w:val="clear" w:color="auto" w:fill="auto"/>
            <w:vAlign w:val="center"/>
          </w:tcPr>
          <w:p w14:paraId="6FA429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E8AEF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8CA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3A5D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1849D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D4FADF">
            <w:pPr>
              <w:pStyle w:val="149"/>
              <w:widowControl w:val="0"/>
              <w:jc w:val="right"/>
              <w:rPr>
                <w:rFonts w:cs="Times New Roman"/>
                <w:sz w:val="20"/>
              </w:rPr>
            </w:pPr>
            <w:r>
              <w:rPr>
                <w:rFonts w:hint="eastAsia" w:cs="Times New Roman"/>
                <w:sz w:val="20"/>
              </w:rPr>
              <w:t>XX</w:t>
            </w:r>
          </w:p>
        </w:tc>
      </w:tr>
      <w:tr w14:paraId="18E43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9720A1">
            <w:pPr>
              <w:pStyle w:val="149"/>
              <w:widowControl w:val="0"/>
              <w:jc w:val="both"/>
              <w:rPr>
                <w:rFonts w:cs="Times New Roman"/>
                <w:sz w:val="20"/>
              </w:rPr>
            </w:pPr>
            <w:r>
              <w:rPr>
                <w:rFonts w:cs="Times New Roman"/>
                <w:sz w:val="20"/>
              </w:rPr>
              <w:t>ZEZ</w:t>
            </w:r>
          </w:p>
        </w:tc>
        <w:tc>
          <w:tcPr>
            <w:tcW w:w="606" w:type="pct"/>
            <w:shd w:val="clear" w:color="auto" w:fill="auto"/>
            <w:vAlign w:val="center"/>
          </w:tcPr>
          <w:p w14:paraId="4DCBA7F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8F782B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5EE4C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7C4E0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CCA86A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09BED1D">
            <w:pPr>
              <w:pStyle w:val="149"/>
              <w:widowControl w:val="0"/>
              <w:jc w:val="right"/>
              <w:rPr>
                <w:rFonts w:cs="Times New Roman"/>
                <w:sz w:val="20"/>
              </w:rPr>
            </w:pPr>
            <w:r>
              <w:rPr>
                <w:rFonts w:hint="eastAsia" w:cs="Times New Roman"/>
                <w:sz w:val="20"/>
              </w:rPr>
              <w:t>XX</w:t>
            </w:r>
          </w:p>
        </w:tc>
      </w:tr>
      <w:tr w14:paraId="4ADCA2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7D7276">
            <w:pPr>
              <w:pStyle w:val="149"/>
              <w:widowControl w:val="0"/>
              <w:jc w:val="both"/>
              <w:rPr>
                <w:rFonts w:cs="Times New Roman"/>
                <w:sz w:val="20"/>
              </w:rPr>
            </w:pPr>
            <w:r>
              <w:rPr>
                <w:rFonts w:cs="Times New Roman"/>
                <w:sz w:val="20"/>
              </w:rPr>
              <w:t>ACPES</w:t>
            </w:r>
          </w:p>
        </w:tc>
        <w:tc>
          <w:tcPr>
            <w:tcW w:w="606" w:type="pct"/>
            <w:shd w:val="clear" w:color="auto" w:fill="auto"/>
            <w:vAlign w:val="center"/>
          </w:tcPr>
          <w:p w14:paraId="159CBF6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6D40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E066E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7C63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DCFFB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4A8BA9">
            <w:pPr>
              <w:pStyle w:val="149"/>
              <w:widowControl w:val="0"/>
              <w:jc w:val="right"/>
              <w:rPr>
                <w:rFonts w:cs="Times New Roman"/>
                <w:sz w:val="20"/>
              </w:rPr>
            </w:pPr>
            <w:r>
              <w:rPr>
                <w:rFonts w:hint="eastAsia" w:cs="Times New Roman"/>
                <w:sz w:val="20"/>
              </w:rPr>
              <w:t>XX</w:t>
            </w:r>
          </w:p>
        </w:tc>
      </w:tr>
      <w:tr w14:paraId="00048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D443CEE">
            <w:pPr>
              <w:pStyle w:val="149"/>
              <w:widowControl w:val="0"/>
              <w:jc w:val="both"/>
              <w:rPr>
                <w:rFonts w:cs="Times New Roman"/>
                <w:sz w:val="20"/>
              </w:rPr>
            </w:pPr>
            <w:r>
              <w:rPr>
                <w:rFonts w:cs="Times New Roman"/>
                <w:sz w:val="20"/>
              </w:rPr>
              <w:t>CIRCUTOR</w:t>
            </w:r>
          </w:p>
        </w:tc>
        <w:tc>
          <w:tcPr>
            <w:tcW w:w="606" w:type="pct"/>
            <w:shd w:val="clear" w:color="auto" w:fill="auto"/>
            <w:vAlign w:val="center"/>
          </w:tcPr>
          <w:p w14:paraId="0DE23CB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412D6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777CD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8FE302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A8B45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BECA1B6">
            <w:pPr>
              <w:pStyle w:val="149"/>
              <w:widowControl w:val="0"/>
              <w:jc w:val="right"/>
              <w:rPr>
                <w:rFonts w:cs="Times New Roman"/>
                <w:sz w:val="20"/>
              </w:rPr>
            </w:pPr>
            <w:r>
              <w:rPr>
                <w:rFonts w:hint="eastAsia" w:cs="Times New Roman"/>
                <w:sz w:val="20"/>
              </w:rPr>
              <w:t>XX</w:t>
            </w:r>
          </w:p>
        </w:tc>
      </w:tr>
      <w:tr w14:paraId="134DEC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CD39CB">
            <w:pPr>
              <w:pStyle w:val="149"/>
              <w:widowControl w:val="0"/>
              <w:jc w:val="both"/>
              <w:rPr>
                <w:rFonts w:cs="Times New Roman"/>
                <w:sz w:val="20"/>
              </w:rPr>
            </w:pPr>
            <w:r>
              <w:rPr>
                <w:rFonts w:cs="Times New Roman"/>
                <w:sz w:val="20"/>
              </w:rPr>
              <w:t>COMAR</w:t>
            </w:r>
          </w:p>
        </w:tc>
        <w:tc>
          <w:tcPr>
            <w:tcW w:w="606" w:type="pct"/>
            <w:shd w:val="clear" w:color="auto" w:fill="auto"/>
            <w:vAlign w:val="center"/>
          </w:tcPr>
          <w:p w14:paraId="042EF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844D8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215AE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A8B37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F8F55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1E96ED7">
            <w:pPr>
              <w:pStyle w:val="149"/>
              <w:widowControl w:val="0"/>
              <w:jc w:val="right"/>
              <w:rPr>
                <w:rFonts w:cs="Times New Roman"/>
                <w:sz w:val="20"/>
              </w:rPr>
            </w:pPr>
            <w:r>
              <w:rPr>
                <w:rFonts w:hint="eastAsia" w:cs="Times New Roman"/>
                <w:sz w:val="20"/>
              </w:rPr>
              <w:t>XX</w:t>
            </w:r>
          </w:p>
        </w:tc>
      </w:tr>
      <w:tr w14:paraId="43AFD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F6C1070">
            <w:pPr>
              <w:pStyle w:val="149"/>
              <w:widowControl w:val="0"/>
              <w:jc w:val="both"/>
              <w:rPr>
                <w:rFonts w:cs="Times New Roman"/>
                <w:sz w:val="20"/>
              </w:rPr>
            </w:pPr>
            <w:r>
              <w:rPr>
                <w:rFonts w:cs="Times New Roman"/>
                <w:sz w:val="20"/>
              </w:rPr>
              <w:t>Franke GMKP</w:t>
            </w:r>
          </w:p>
        </w:tc>
        <w:tc>
          <w:tcPr>
            <w:tcW w:w="606" w:type="pct"/>
            <w:shd w:val="clear" w:color="auto" w:fill="auto"/>
            <w:vAlign w:val="center"/>
          </w:tcPr>
          <w:p w14:paraId="5FBF68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D1288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B03E2B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1E54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9A2B5B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2294B6">
            <w:pPr>
              <w:pStyle w:val="149"/>
              <w:widowControl w:val="0"/>
              <w:jc w:val="right"/>
              <w:rPr>
                <w:rFonts w:cs="Times New Roman"/>
                <w:sz w:val="20"/>
              </w:rPr>
            </w:pPr>
            <w:r>
              <w:rPr>
                <w:rFonts w:hint="eastAsia" w:cs="Times New Roman"/>
                <w:sz w:val="20"/>
              </w:rPr>
              <w:t>XX</w:t>
            </w:r>
          </w:p>
        </w:tc>
      </w:tr>
      <w:tr w14:paraId="118F1D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285DF0">
            <w:pPr>
              <w:pStyle w:val="149"/>
              <w:widowControl w:val="0"/>
              <w:jc w:val="both"/>
              <w:rPr>
                <w:rFonts w:cs="Times New Roman"/>
                <w:sz w:val="20"/>
              </w:rPr>
            </w:pPr>
            <w:r>
              <w:rPr>
                <w:rFonts w:cs="Times New Roman"/>
                <w:sz w:val="20"/>
              </w:rPr>
              <w:t>AB Power System</w:t>
            </w:r>
          </w:p>
        </w:tc>
        <w:tc>
          <w:tcPr>
            <w:tcW w:w="606" w:type="pct"/>
            <w:shd w:val="clear" w:color="auto" w:fill="auto"/>
            <w:vAlign w:val="center"/>
          </w:tcPr>
          <w:p w14:paraId="66A89ED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DE1C7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C0206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AA6C2C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8B96E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828D564">
            <w:pPr>
              <w:pStyle w:val="149"/>
              <w:widowControl w:val="0"/>
              <w:jc w:val="right"/>
              <w:rPr>
                <w:rFonts w:cs="Times New Roman"/>
                <w:sz w:val="20"/>
              </w:rPr>
            </w:pPr>
            <w:r>
              <w:rPr>
                <w:rFonts w:hint="eastAsia" w:cs="Times New Roman"/>
                <w:sz w:val="20"/>
              </w:rPr>
              <w:t>XX</w:t>
            </w:r>
          </w:p>
        </w:tc>
      </w:tr>
      <w:tr w14:paraId="7BF68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A590B6E">
            <w:pPr>
              <w:pStyle w:val="149"/>
              <w:widowControl w:val="0"/>
              <w:jc w:val="both"/>
              <w:rPr>
                <w:rFonts w:cs="Times New Roman"/>
                <w:sz w:val="20"/>
              </w:rPr>
            </w:pPr>
            <w:r>
              <w:rPr>
                <w:rFonts w:cs="Times New Roman"/>
                <w:sz w:val="20"/>
              </w:rPr>
              <w:t>KBR</w:t>
            </w:r>
          </w:p>
        </w:tc>
        <w:tc>
          <w:tcPr>
            <w:tcW w:w="606" w:type="pct"/>
            <w:shd w:val="clear" w:color="auto" w:fill="auto"/>
            <w:vAlign w:val="center"/>
          </w:tcPr>
          <w:p w14:paraId="051840C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E7A90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F0D0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46657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1AF658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0D73AC6">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固定功率电容器收入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21583630"/>
      <w:bookmarkStart w:id="151" w:name="_Toc167094570"/>
      <w:r>
        <w:rPr>
          <w:rFonts w:hint="eastAsia"/>
        </w:rPr>
        <w:t>欧洲市场主要厂商</w:t>
      </w:r>
      <w:r>
        <w:t>固定功率电容器</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Nissin Electric</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China XD</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Siyuan</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Guilin Power Capacitor</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Electronicon</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GE Grid Solutions</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Herong Electric</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New Northeast Electric</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TDK</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L&amp;T</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LIFASA</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4F6B1A">
            <w:pPr>
              <w:pStyle w:val="149"/>
              <w:widowControl w:val="0"/>
              <w:jc w:val="both"/>
              <w:rPr>
                <w:rFonts w:cs="Times New Roman"/>
                <w:sz w:val="20"/>
              </w:rPr>
            </w:pPr>
            <w:r>
              <w:rPr>
                <w:rFonts w:cs="Times New Roman"/>
                <w:sz w:val="20"/>
              </w:rPr>
              <w:t>Shreem Electric</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3A68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63DB9A">
            <w:pPr>
              <w:pStyle w:val="149"/>
              <w:widowControl w:val="0"/>
              <w:jc w:val="both"/>
              <w:rPr>
                <w:rFonts w:cs="Times New Roman"/>
                <w:sz w:val="20"/>
              </w:rPr>
            </w:pPr>
            <w:r>
              <w:rPr>
                <w:rFonts w:cs="Times New Roman"/>
                <w:sz w:val="20"/>
              </w:rPr>
              <w:t>Frako</w:t>
            </w:r>
          </w:p>
        </w:tc>
        <w:tc>
          <w:tcPr>
            <w:tcW w:w="606" w:type="pct"/>
            <w:shd w:val="clear" w:color="auto" w:fill="auto"/>
            <w:vAlign w:val="center"/>
          </w:tcPr>
          <w:p w14:paraId="48EC79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0621F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52F6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BADB3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788FA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C5FEC">
            <w:pPr>
              <w:pStyle w:val="149"/>
              <w:widowControl w:val="0"/>
              <w:jc w:val="right"/>
              <w:rPr>
                <w:rFonts w:cs="Times New Roman"/>
                <w:sz w:val="20"/>
              </w:rPr>
            </w:pPr>
            <w:r>
              <w:rPr>
                <w:rFonts w:hint="eastAsia" w:cs="Times New Roman"/>
                <w:sz w:val="20"/>
              </w:rPr>
              <w:t>XX</w:t>
            </w:r>
          </w:p>
        </w:tc>
      </w:tr>
      <w:tr w14:paraId="0B2E9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D5BF0C">
            <w:pPr>
              <w:pStyle w:val="149"/>
              <w:widowControl w:val="0"/>
              <w:jc w:val="both"/>
              <w:rPr>
                <w:rFonts w:cs="Times New Roman"/>
                <w:sz w:val="20"/>
              </w:rPr>
            </w:pPr>
            <w:r>
              <w:rPr>
                <w:rFonts w:cs="Times New Roman"/>
                <w:sz w:val="20"/>
              </w:rPr>
              <w:t>RTR</w:t>
            </w:r>
          </w:p>
        </w:tc>
        <w:tc>
          <w:tcPr>
            <w:tcW w:w="606" w:type="pct"/>
            <w:shd w:val="clear" w:color="auto" w:fill="auto"/>
            <w:vAlign w:val="center"/>
          </w:tcPr>
          <w:p w14:paraId="260F092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DDDB5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3403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64F16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8D7E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F4CAA51">
            <w:pPr>
              <w:pStyle w:val="149"/>
              <w:widowControl w:val="0"/>
              <w:jc w:val="right"/>
              <w:rPr>
                <w:rFonts w:cs="Times New Roman"/>
                <w:sz w:val="20"/>
              </w:rPr>
            </w:pPr>
            <w:r>
              <w:rPr>
                <w:rFonts w:hint="eastAsia" w:cs="Times New Roman"/>
                <w:sz w:val="20"/>
              </w:rPr>
              <w:t>XX</w:t>
            </w:r>
          </w:p>
        </w:tc>
      </w:tr>
      <w:tr w14:paraId="7D26E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72FEAB">
            <w:pPr>
              <w:pStyle w:val="149"/>
              <w:widowControl w:val="0"/>
              <w:jc w:val="both"/>
              <w:rPr>
                <w:rFonts w:cs="Times New Roman"/>
                <w:sz w:val="20"/>
              </w:rPr>
            </w:pPr>
            <w:r>
              <w:rPr>
                <w:rFonts w:cs="Times New Roman"/>
                <w:sz w:val="20"/>
              </w:rPr>
              <w:t>ICAR</w:t>
            </w:r>
          </w:p>
        </w:tc>
        <w:tc>
          <w:tcPr>
            <w:tcW w:w="606" w:type="pct"/>
            <w:shd w:val="clear" w:color="auto" w:fill="auto"/>
            <w:vAlign w:val="center"/>
          </w:tcPr>
          <w:p w14:paraId="54A0AFB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814E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9E20C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5B2F6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03671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ABB40B">
            <w:pPr>
              <w:pStyle w:val="149"/>
              <w:widowControl w:val="0"/>
              <w:jc w:val="right"/>
              <w:rPr>
                <w:rFonts w:cs="Times New Roman"/>
                <w:sz w:val="20"/>
              </w:rPr>
            </w:pPr>
            <w:r>
              <w:rPr>
                <w:rFonts w:hint="eastAsia" w:cs="Times New Roman"/>
                <w:sz w:val="20"/>
              </w:rPr>
              <w:t>XX</w:t>
            </w:r>
          </w:p>
        </w:tc>
      </w:tr>
      <w:tr w14:paraId="409693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7BA5D84">
            <w:pPr>
              <w:pStyle w:val="149"/>
              <w:widowControl w:val="0"/>
              <w:jc w:val="both"/>
              <w:rPr>
                <w:rFonts w:cs="Times New Roman"/>
                <w:sz w:val="20"/>
              </w:rPr>
            </w:pPr>
            <w:r>
              <w:rPr>
                <w:rFonts w:cs="Times New Roman"/>
                <w:sz w:val="20"/>
              </w:rPr>
              <w:t>DUCATI</w:t>
            </w:r>
          </w:p>
        </w:tc>
        <w:tc>
          <w:tcPr>
            <w:tcW w:w="606" w:type="pct"/>
            <w:shd w:val="clear" w:color="auto" w:fill="auto"/>
            <w:vAlign w:val="center"/>
          </w:tcPr>
          <w:p w14:paraId="23A280A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2F19A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F80D5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2464C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3AD32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6C4379E">
            <w:pPr>
              <w:pStyle w:val="149"/>
              <w:widowControl w:val="0"/>
              <w:jc w:val="right"/>
              <w:rPr>
                <w:rFonts w:cs="Times New Roman"/>
                <w:sz w:val="20"/>
              </w:rPr>
            </w:pPr>
            <w:r>
              <w:rPr>
                <w:rFonts w:hint="eastAsia" w:cs="Times New Roman"/>
                <w:sz w:val="20"/>
              </w:rPr>
              <w:t>XX</w:t>
            </w:r>
          </w:p>
        </w:tc>
      </w:tr>
      <w:tr w14:paraId="7F3446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98D29A">
            <w:pPr>
              <w:pStyle w:val="149"/>
              <w:widowControl w:val="0"/>
              <w:jc w:val="both"/>
              <w:rPr>
                <w:rFonts w:cs="Times New Roman"/>
                <w:sz w:val="20"/>
              </w:rPr>
            </w:pPr>
            <w:r>
              <w:rPr>
                <w:rFonts w:cs="Times New Roman"/>
                <w:sz w:val="20"/>
              </w:rPr>
              <w:t>ZEZ</w:t>
            </w:r>
          </w:p>
        </w:tc>
        <w:tc>
          <w:tcPr>
            <w:tcW w:w="606" w:type="pct"/>
            <w:shd w:val="clear" w:color="auto" w:fill="auto"/>
            <w:vAlign w:val="center"/>
          </w:tcPr>
          <w:p w14:paraId="60D4530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833CB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1BC2EC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5ACE3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5A64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712F66">
            <w:pPr>
              <w:pStyle w:val="149"/>
              <w:widowControl w:val="0"/>
              <w:jc w:val="right"/>
              <w:rPr>
                <w:rFonts w:cs="Times New Roman"/>
                <w:sz w:val="20"/>
              </w:rPr>
            </w:pPr>
            <w:r>
              <w:rPr>
                <w:rFonts w:hint="eastAsia" w:cs="Times New Roman"/>
                <w:sz w:val="20"/>
              </w:rPr>
              <w:t>XX</w:t>
            </w:r>
          </w:p>
        </w:tc>
      </w:tr>
      <w:tr w14:paraId="6410A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36E6810">
            <w:pPr>
              <w:pStyle w:val="149"/>
              <w:widowControl w:val="0"/>
              <w:jc w:val="both"/>
              <w:rPr>
                <w:rFonts w:cs="Times New Roman"/>
                <w:sz w:val="20"/>
              </w:rPr>
            </w:pPr>
            <w:r>
              <w:rPr>
                <w:rFonts w:cs="Times New Roman"/>
                <w:sz w:val="20"/>
              </w:rPr>
              <w:t>ACPES</w:t>
            </w:r>
          </w:p>
        </w:tc>
        <w:tc>
          <w:tcPr>
            <w:tcW w:w="606" w:type="pct"/>
            <w:shd w:val="clear" w:color="auto" w:fill="auto"/>
            <w:vAlign w:val="center"/>
          </w:tcPr>
          <w:p w14:paraId="0D9ADD3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9266C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1EBBE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1A871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4BD942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7EAC190">
            <w:pPr>
              <w:pStyle w:val="149"/>
              <w:widowControl w:val="0"/>
              <w:jc w:val="right"/>
              <w:rPr>
                <w:rFonts w:cs="Times New Roman"/>
                <w:sz w:val="20"/>
              </w:rPr>
            </w:pPr>
            <w:r>
              <w:rPr>
                <w:rFonts w:hint="eastAsia" w:cs="Times New Roman"/>
                <w:sz w:val="20"/>
              </w:rPr>
              <w:t>XX</w:t>
            </w:r>
          </w:p>
        </w:tc>
      </w:tr>
      <w:tr w14:paraId="596BCA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DC04A0">
            <w:pPr>
              <w:pStyle w:val="149"/>
              <w:widowControl w:val="0"/>
              <w:jc w:val="both"/>
              <w:rPr>
                <w:rFonts w:cs="Times New Roman"/>
                <w:sz w:val="20"/>
              </w:rPr>
            </w:pPr>
            <w:r>
              <w:rPr>
                <w:rFonts w:cs="Times New Roman"/>
                <w:sz w:val="20"/>
              </w:rPr>
              <w:t>CIRCUTOR</w:t>
            </w:r>
          </w:p>
        </w:tc>
        <w:tc>
          <w:tcPr>
            <w:tcW w:w="606" w:type="pct"/>
            <w:shd w:val="clear" w:color="auto" w:fill="auto"/>
            <w:vAlign w:val="center"/>
          </w:tcPr>
          <w:p w14:paraId="4FAA6AE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7D3243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2109B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7F03C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C1CA8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829A72">
            <w:pPr>
              <w:pStyle w:val="149"/>
              <w:widowControl w:val="0"/>
              <w:jc w:val="right"/>
              <w:rPr>
                <w:rFonts w:cs="Times New Roman"/>
                <w:sz w:val="20"/>
              </w:rPr>
            </w:pPr>
            <w:r>
              <w:rPr>
                <w:rFonts w:hint="eastAsia" w:cs="Times New Roman"/>
                <w:sz w:val="20"/>
              </w:rPr>
              <w:t>XX</w:t>
            </w:r>
          </w:p>
        </w:tc>
      </w:tr>
      <w:tr w14:paraId="166A1C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73AD3FE">
            <w:pPr>
              <w:pStyle w:val="149"/>
              <w:widowControl w:val="0"/>
              <w:jc w:val="both"/>
              <w:rPr>
                <w:rFonts w:cs="Times New Roman"/>
                <w:sz w:val="20"/>
              </w:rPr>
            </w:pPr>
            <w:r>
              <w:rPr>
                <w:rFonts w:cs="Times New Roman"/>
                <w:sz w:val="20"/>
              </w:rPr>
              <w:t>COMAR</w:t>
            </w:r>
          </w:p>
        </w:tc>
        <w:tc>
          <w:tcPr>
            <w:tcW w:w="606" w:type="pct"/>
            <w:shd w:val="clear" w:color="auto" w:fill="auto"/>
            <w:vAlign w:val="center"/>
          </w:tcPr>
          <w:p w14:paraId="46E3697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D523B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6C6157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832FD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4368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0033738">
            <w:pPr>
              <w:pStyle w:val="149"/>
              <w:widowControl w:val="0"/>
              <w:jc w:val="right"/>
              <w:rPr>
                <w:rFonts w:cs="Times New Roman"/>
                <w:sz w:val="20"/>
              </w:rPr>
            </w:pPr>
            <w:r>
              <w:rPr>
                <w:rFonts w:hint="eastAsia" w:cs="Times New Roman"/>
                <w:sz w:val="20"/>
              </w:rPr>
              <w:t>XX</w:t>
            </w:r>
          </w:p>
        </w:tc>
      </w:tr>
      <w:tr w14:paraId="560482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CB03AA">
            <w:pPr>
              <w:pStyle w:val="149"/>
              <w:widowControl w:val="0"/>
              <w:jc w:val="both"/>
              <w:rPr>
                <w:rFonts w:cs="Times New Roman"/>
                <w:sz w:val="20"/>
              </w:rPr>
            </w:pPr>
            <w:r>
              <w:rPr>
                <w:rFonts w:cs="Times New Roman"/>
                <w:sz w:val="20"/>
              </w:rPr>
              <w:t>Franke GMKP</w:t>
            </w:r>
          </w:p>
        </w:tc>
        <w:tc>
          <w:tcPr>
            <w:tcW w:w="606" w:type="pct"/>
            <w:shd w:val="clear" w:color="auto" w:fill="auto"/>
            <w:vAlign w:val="center"/>
          </w:tcPr>
          <w:p w14:paraId="2A5889C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AB7B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AAEB6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1589F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5B71E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2D46DE">
            <w:pPr>
              <w:pStyle w:val="149"/>
              <w:widowControl w:val="0"/>
              <w:jc w:val="right"/>
              <w:rPr>
                <w:rFonts w:cs="Times New Roman"/>
                <w:sz w:val="20"/>
              </w:rPr>
            </w:pPr>
            <w:r>
              <w:rPr>
                <w:rFonts w:hint="eastAsia" w:cs="Times New Roman"/>
                <w:sz w:val="20"/>
              </w:rPr>
              <w:t>XX</w:t>
            </w:r>
          </w:p>
        </w:tc>
      </w:tr>
      <w:tr w14:paraId="301600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215983">
            <w:pPr>
              <w:pStyle w:val="149"/>
              <w:widowControl w:val="0"/>
              <w:jc w:val="both"/>
              <w:rPr>
                <w:rFonts w:cs="Times New Roman"/>
                <w:sz w:val="20"/>
              </w:rPr>
            </w:pPr>
            <w:r>
              <w:rPr>
                <w:rFonts w:cs="Times New Roman"/>
                <w:sz w:val="20"/>
              </w:rPr>
              <w:t>AB Power System</w:t>
            </w:r>
          </w:p>
        </w:tc>
        <w:tc>
          <w:tcPr>
            <w:tcW w:w="606" w:type="pct"/>
            <w:shd w:val="clear" w:color="auto" w:fill="auto"/>
            <w:vAlign w:val="center"/>
          </w:tcPr>
          <w:p w14:paraId="48739BE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630D8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73E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F89F9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0FFCE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6665D4C">
            <w:pPr>
              <w:pStyle w:val="149"/>
              <w:widowControl w:val="0"/>
              <w:jc w:val="right"/>
              <w:rPr>
                <w:rFonts w:cs="Times New Roman"/>
                <w:sz w:val="20"/>
              </w:rPr>
            </w:pPr>
            <w:r>
              <w:rPr>
                <w:rFonts w:hint="eastAsia" w:cs="Times New Roman"/>
                <w:sz w:val="20"/>
              </w:rPr>
              <w:t>XX</w:t>
            </w:r>
          </w:p>
        </w:tc>
      </w:tr>
      <w:tr w14:paraId="0002D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7220589">
            <w:pPr>
              <w:pStyle w:val="149"/>
              <w:widowControl w:val="0"/>
              <w:jc w:val="both"/>
              <w:rPr>
                <w:rFonts w:cs="Times New Roman"/>
                <w:sz w:val="20"/>
              </w:rPr>
            </w:pPr>
            <w:r>
              <w:rPr>
                <w:rFonts w:cs="Times New Roman"/>
                <w:sz w:val="20"/>
              </w:rPr>
              <w:t>KBR</w:t>
            </w:r>
          </w:p>
        </w:tc>
        <w:tc>
          <w:tcPr>
            <w:tcW w:w="606" w:type="pct"/>
            <w:shd w:val="clear" w:color="auto" w:fill="auto"/>
            <w:vAlign w:val="center"/>
          </w:tcPr>
          <w:p w14:paraId="4F3B40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2DC4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C638C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7DFEC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A38D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7581D6">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26780014"/>
      <w:bookmarkStart w:id="154" w:name="_Toc167094558"/>
      <w:bookmarkStart w:id="155" w:name="_Toc121583610"/>
      <w:r>
        <w:rPr>
          <w:rFonts w:hint="eastAsia"/>
        </w:rPr>
        <w:t>2023年欧洲市场主要厂商</w:t>
      </w:r>
      <w:r>
        <w:t>固定功率电容器</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972498"/>
      <w:bookmarkStart w:id="157" w:name="_Toc24028308"/>
      <w:bookmarkStart w:id="158" w:name="_Toc121583900"/>
      <w:bookmarkStart w:id="159" w:name="_Toc167094648"/>
      <w:r>
        <w:rPr>
          <w:rFonts w:hint="eastAsia"/>
        </w:rPr>
        <w:t>欧洲市场主要厂商</w:t>
      </w:r>
      <w:r>
        <w:t>固定功率电容器</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67094571"/>
      <w:bookmarkStart w:id="163" w:name="_Toc121583632"/>
      <w:r>
        <w:rPr>
          <w:rFonts w:hint="eastAsia"/>
        </w:rPr>
        <w:t>欧洲市场主要厂商</w:t>
      </w:r>
      <w:r>
        <w:t>固定功率电容器</w:t>
      </w:r>
      <w:r>
        <w:rPr>
          <w:rFonts w:hint="eastAsia"/>
        </w:rPr>
        <w:t>价格</w:t>
      </w:r>
      <w:bookmarkEnd w:id="160"/>
      <w:bookmarkEnd w:id="161"/>
      <w:r>
        <w:rPr>
          <w:rFonts w:hint="eastAsia"/>
        </w:rPr>
        <w:t>（2019-2024）&amp;（美元/千乏）</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ABB</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Schneider Electric</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Eaton</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Nissin Electric</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China XD</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Siyuan</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Guilin Power Capacitor</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Electronicon</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GE Grid Solutions</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Herong Electric</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New Northeast Electric</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TDK</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L&amp;T</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LIFASA</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4D4ED5">
            <w:pPr>
              <w:pStyle w:val="149"/>
              <w:widowControl w:val="0"/>
              <w:jc w:val="both"/>
              <w:rPr>
                <w:rFonts w:cs="Times New Roman"/>
                <w:sz w:val="20"/>
              </w:rPr>
            </w:pPr>
            <w:r>
              <w:rPr>
                <w:rFonts w:cs="Times New Roman"/>
                <w:sz w:val="20"/>
              </w:rPr>
              <w:t>Shreem Electric</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r w14:paraId="1BE2D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582A860">
            <w:pPr>
              <w:pStyle w:val="149"/>
              <w:widowControl w:val="0"/>
              <w:jc w:val="both"/>
              <w:rPr>
                <w:rFonts w:cs="Times New Roman"/>
                <w:sz w:val="20"/>
              </w:rPr>
            </w:pPr>
            <w:r>
              <w:rPr>
                <w:rFonts w:cs="Times New Roman"/>
                <w:sz w:val="20"/>
              </w:rPr>
              <w:t>Frako</w:t>
            </w:r>
          </w:p>
        </w:tc>
        <w:tc>
          <w:tcPr>
            <w:tcW w:w="606" w:type="pct"/>
            <w:shd w:val="clear" w:color="auto" w:fill="auto"/>
            <w:vAlign w:val="center"/>
          </w:tcPr>
          <w:p w14:paraId="40823BD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F3FC16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EBCC7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0F93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90C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CAB1F77">
            <w:pPr>
              <w:pStyle w:val="149"/>
              <w:widowControl w:val="0"/>
              <w:jc w:val="right"/>
              <w:rPr>
                <w:rFonts w:cs="Times New Roman"/>
                <w:sz w:val="20"/>
              </w:rPr>
            </w:pPr>
            <w:r>
              <w:rPr>
                <w:rFonts w:hint="eastAsia" w:cs="Times New Roman"/>
                <w:sz w:val="20"/>
              </w:rPr>
              <w:t>XX</w:t>
            </w:r>
          </w:p>
        </w:tc>
      </w:tr>
      <w:tr w14:paraId="1EDC7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1A947D">
            <w:pPr>
              <w:pStyle w:val="149"/>
              <w:widowControl w:val="0"/>
              <w:jc w:val="both"/>
              <w:rPr>
                <w:rFonts w:cs="Times New Roman"/>
                <w:sz w:val="20"/>
              </w:rPr>
            </w:pPr>
            <w:r>
              <w:rPr>
                <w:rFonts w:cs="Times New Roman"/>
                <w:sz w:val="20"/>
              </w:rPr>
              <w:t>RTR</w:t>
            </w:r>
          </w:p>
        </w:tc>
        <w:tc>
          <w:tcPr>
            <w:tcW w:w="606" w:type="pct"/>
            <w:shd w:val="clear" w:color="auto" w:fill="auto"/>
            <w:vAlign w:val="center"/>
          </w:tcPr>
          <w:p w14:paraId="3BBF775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5349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4828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C39EB5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071E4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1A5A5">
            <w:pPr>
              <w:pStyle w:val="149"/>
              <w:widowControl w:val="0"/>
              <w:jc w:val="right"/>
              <w:rPr>
                <w:rFonts w:cs="Times New Roman"/>
                <w:sz w:val="20"/>
              </w:rPr>
            </w:pPr>
            <w:r>
              <w:rPr>
                <w:rFonts w:hint="eastAsia" w:cs="Times New Roman"/>
                <w:sz w:val="20"/>
              </w:rPr>
              <w:t>XX</w:t>
            </w:r>
          </w:p>
        </w:tc>
      </w:tr>
      <w:tr w14:paraId="2574D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CACABF">
            <w:pPr>
              <w:pStyle w:val="149"/>
              <w:widowControl w:val="0"/>
              <w:jc w:val="both"/>
              <w:rPr>
                <w:rFonts w:cs="Times New Roman"/>
                <w:sz w:val="20"/>
              </w:rPr>
            </w:pPr>
            <w:r>
              <w:rPr>
                <w:rFonts w:cs="Times New Roman"/>
                <w:sz w:val="20"/>
              </w:rPr>
              <w:t>ICAR</w:t>
            </w:r>
          </w:p>
        </w:tc>
        <w:tc>
          <w:tcPr>
            <w:tcW w:w="606" w:type="pct"/>
            <w:shd w:val="clear" w:color="auto" w:fill="auto"/>
            <w:vAlign w:val="center"/>
          </w:tcPr>
          <w:p w14:paraId="7DD0C06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720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786A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9CAB2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F5E70F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51FF132">
            <w:pPr>
              <w:pStyle w:val="149"/>
              <w:widowControl w:val="0"/>
              <w:jc w:val="right"/>
              <w:rPr>
                <w:rFonts w:cs="Times New Roman"/>
                <w:sz w:val="20"/>
              </w:rPr>
            </w:pPr>
            <w:r>
              <w:rPr>
                <w:rFonts w:hint="eastAsia" w:cs="Times New Roman"/>
                <w:sz w:val="20"/>
              </w:rPr>
              <w:t>XX</w:t>
            </w:r>
          </w:p>
        </w:tc>
      </w:tr>
      <w:tr w14:paraId="62F83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ECD3CB2">
            <w:pPr>
              <w:pStyle w:val="149"/>
              <w:widowControl w:val="0"/>
              <w:jc w:val="both"/>
              <w:rPr>
                <w:rFonts w:cs="Times New Roman"/>
                <w:sz w:val="20"/>
              </w:rPr>
            </w:pPr>
            <w:r>
              <w:rPr>
                <w:rFonts w:cs="Times New Roman"/>
                <w:sz w:val="20"/>
              </w:rPr>
              <w:t>DUCATI</w:t>
            </w:r>
          </w:p>
        </w:tc>
        <w:tc>
          <w:tcPr>
            <w:tcW w:w="606" w:type="pct"/>
            <w:shd w:val="clear" w:color="auto" w:fill="auto"/>
            <w:vAlign w:val="center"/>
          </w:tcPr>
          <w:p w14:paraId="729E384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AE1DDC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06CB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B6F92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F811DD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63992E">
            <w:pPr>
              <w:pStyle w:val="149"/>
              <w:widowControl w:val="0"/>
              <w:jc w:val="right"/>
              <w:rPr>
                <w:rFonts w:cs="Times New Roman"/>
                <w:sz w:val="20"/>
              </w:rPr>
            </w:pPr>
            <w:r>
              <w:rPr>
                <w:rFonts w:hint="eastAsia" w:cs="Times New Roman"/>
                <w:sz w:val="20"/>
              </w:rPr>
              <w:t>XX</w:t>
            </w:r>
          </w:p>
        </w:tc>
      </w:tr>
      <w:tr w14:paraId="295AC5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7455E6">
            <w:pPr>
              <w:pStyle w:val="149"/>
              <w:widowControl w:val="0"/>
              <w:jc w:val="both"/>
              <w:rPr>
                <w:rFonts w:cs="Times New Roman"/>
                <w:sz w:val="20"/>
              </w:rPr>
            </w:pPr>
            <w:r>
              <w:rPr>
                <w:rFonts w:cs="Times New Roman"/>
                <w:sz w:val="20"/>
              </w:rPr>
              <w:t>ZEZ</w:t>
            </w:r>
          </w:p>
        </w:tc>
        <w:tc>
          <w:tcPr>
            <w:tcW w:w="606" w:type="pct"/>
            <w:shd w:val="clear" w:color="auto" w:fill="auto"/>
            <w:vAlign w:val="center"/>
          </w:tcPr>
          <w:p w14:paraId="1810525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532A74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47E4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995F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9A79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2E1EA6">
            <w:pPr>
              <w:pStyle w:val="149"/>
              <w:widowControl w:val="0"/>
              <w:jc w:val="right"/>
              <w:rPr>
                <w:rFonts w:cs="Times New Roman"/>
                <w:sz w:val="20"/>
              </w:rPr>
            </w:pPr>
            <w:r>
              <w:rPr>
                <w:rFonts w:hint="eastAsia" w:cs="Times New Roman"/>
                <w:sz w:val="20"/>
              </w:rPr>
              <w:t>XX</w:t>
            </w:r>
          </w:p>
        </w:tc>
      </w:tr>
      <w:tr w14:paraId="6279D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A673BF0">
            <w:pPr>
              <w:pStyle w:val="149"/>
              <w:widowControl w:val="0"/>
              <w:jc w:val="both"/>
              <w:rPr>
                <w:rFonts w:cs="Times New Roman"/>
                <w:sz w:val="20"/>
              </w:rPr>
            </w:pPr>
            <w:r>
              <w:rPr>
                <w:rFonts w:cs="Times New Roman"/>
                <w:sz w:val="20"/>
              </w:rPr>
              <w:t>ACPES</w:t>
            </w:r>
          </w:p>
        </w:tc>
        <w:tc>
          <w:tcPr>
            <w:tcW w:w="606" w:type="pct"/>
            <w:shd w:val="clear" w:color="auto" w:fill="auto"/>
            <w:vAlign w:val="center"/>
          </w:tcPr>
          <w:p w14:paraId="057313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ACC2A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87F1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571C1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DE09D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C2CEC7F">
            <w:pPr>
              <w:pStyle w:val="149"/>
              <w:widowControl w:val="0"/>
              <w:jc w:val="right"/>
              <w:rPr>
                <w:rFonts w:cs="Times New Roman"/>
                <w:sz w:val="20"/>
              </w:rPr>
            </w:pPr>
            <w:r>
              <w:rPr>
                <w:rFonts w:hint="eastAsia" w:cs="Times New Roman"/>
                <w:sz w:val="20"/>
              </w:rPr>
              <w:t>XX</w:t>
            </w:r>
          </w:p>
        </w:tc>
      </w:tr>
      <w:tr w14:paraId="223B07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66518CB">
            <w:pPr>
              <w:pStyle w:val="149"/>
              <w:widowControl w:val="0"/>
              <w:jc w:val="both"/>
              <w:rPr>
                <w:rFonts w:cs="Times New Roman"/>
                <w:sz w:val="20"/>
              </w:rPr>
            </w:pPr>
            <w:r>
              <w:rPr>
                <w:rFonts w:cs="Times New Roman"/>
                <w:sz w:val="20"/>
              </w:rPr>
              <w:t>CIRCUTOR</w:t>
            </w:r>
          </w:p>
        </w:tc>
        <w:tc>
          <w:tcPr>
            <w:tcW w:w="606" w:type="pct"/>
            <w:shd w:val="clear" w:color="auto" w:fill="auto"/>
            <w:vAlign w:val="center"/>
          </w:tcPr>
          <w:p w14:paraId="1F7512C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5EB0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AE347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EDCB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905661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F296600">
            <w:pPr>
              <w:pStyle w:val="149"/>
              <w:widowControl w:val="0"/>
              <w:jc w:val="right"/>
              <w:rPr>
                <w:rFonts w:cs="Times New Roman"/>
                <w:sz w:val="20"/>
              </w:rPr>
            </w:pPr>
            <w:r>
              <w:rPr>
                <w:rFonts w:hint="eastAsia" w:cs="Times New Roman"/>
                <w:sz w:val="20"/>
              </w:rPr>
              <w:t>XX</w:t>
            </w:r>
          </w:p>
        </w:tc>
      </w:tr>
      <w:tr w14:paraId="0EEBAA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943E89">
            <w:pPr>
              <w:pStyle w:val="149"/>
              <w:widowControl w:val="0"/>
              <w:jc w:val="both"/>
              <w:rPr>
                <w:rFonts w:cs="Times New Roman"/>
                <w:sz w:val="20"/>
              </w:rPr>
            </w:pPr>
            <w:r>
              <w:rPr>
                <w:rFonts w:cs="Times New Roman"/>
                <w:sz w:val="20"/>
              </w:rPr>
              <w:t>COMAR</w:t>
            </w:r>
          </w:p>
        </w:tc>
        <w:tc>
          <w:tcPr>
            <w:tcW w:w="606" w:type="pct"/>
            <w:shd w:val="clear" w:color="auto" w:fill="auto"/>
            <w:vAlign w:val="center"/>
          </w:tcPr>
          <w:p w14:paraId="4B2FE9A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22B9D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40BD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AF171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16E00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9CFEE6">
            <w:pPr>
              <w:pStyle w:val="149"/>
              <w:widowControl w:val="0"/>
              <w:jc w:val="right"/>
              <w:rPr>
                <w:rFonts w:cs="Times New Roman"/>
                <w:sz w:val="20"/>
              </w:rPr>
            </w:pPr>
            <w:r>
              <w:rPr>
                <w:rFonts w:hint="eastAsia" w:cs="Times New Roman"/>
                <w:sz w:val="20"/>
              </w:rPr>
              <w:t>XX</w:t>
            </w:r>
          </w:p>
        </w:tc>
      </w:tr>
      <w:tr w14:paraId="1BA527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FE8E21">
            <w:pPr>
              <w:pStyle w:val="149"/>
              <w:widowControl w:val="0"/>
              <w:jc w:val="both"/>
              <w:rPr>
                <w:rFonts w:cs="Times New Roman"/>
                <w:sz w:val="20"/>
              </w:rPr>
            </w:pPr>
            <w:r>
              <w:rPr>
                <w:rFonts w:cs="Times New Roman"/>
                <w:sz w:val="20"/>
              </w:rPr>
              <w:t>Franke GMKP</w:t>
            </w:r>
          </w:p>
        </w:tc>
        <w:tc>
          <w:tcPr>
            <w:tcW w:w="606" w:type="pct"/>
            <w:shd w:val="clear" w:color="auto" w:fill="auto"/>
            <w:vAlign w:val="center"/>
          </w:tcPr>
          <w:p w14:paraId="1D9F4A1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E99CB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2CD7F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66ECC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D95DC3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92F0379">
            <w:pPr>
              <w:pStyle w:val="149"/>
              <w:widowControl w:val="0"/>
              <w:jc w:val="right"/>
              <w:rPr>
                <w:rFonts w:cs="Times New Roman"/>
                <w:sz w:val="20"/>
              </w:rPr>
            </w:pPr>
            <w:r>
              <w:rPr>
                <w:rFonts w:hint="eastAsia" w:cs="Times New Roman"/>
                <w:sz w:val="20"/>
              </w:rPr>
              <w:t>XX</w:t>
            </w:r>
          </w:p>
        </w:tc>
      </w:tr>
      <w:tr w14:paraId="46547A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3C9A6">
            <w:pPr>
              <w:pStyle w:val="149"/>
              <w:widowControl w:val="0"/>
              <w:jc w:val="both"/>
              <w:rPr>
                <w:rFonts w:cs="Times New Roman"/>
                <w:sz w:val="20"/>
              </w:rPr>
            </w:pPr>
            <w:r>
              <w:rPr>
                <w:rFonts w:cs="Times New Roman"/>
                <w:sz w:val="20"/>
              </w:rPr>
              <w:t>AB Power System</w:t>
            </w:r>
          </w:p>
        </w:tc>
        <w:tc>
          <w:tcPr>
            <w:tcW w:w="606" w:type="pct"/>
            <w:shd w:val="clear" w:color="auto" w:fill="auto"/>
            <w:vAlign w:val="center"/>
          </w:tcPr>
          <w:p w14:paraId="088B9C4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EF81C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609AC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1E310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94C0C5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5818EEA">
            <w:pPr>
              <w:pStyle w:val="149"/>
              <w:widowControl w:val="0"/>
              <w:jc w:val="right"/>
              <w:rPr>
                <w:rFonts w:cs="Times New Roman"/>
                <w:sz w:val="20"/>
              </w:rPr>
            </w:pPr>
            <w:r>
              <w:rPr>
                <w:rFonts w:hint="eastAsia" w:cs="Times New Roman"/>
                <w:sz w:val="20"/>
              </w:rPr>
              <w:t>XX</w:t>
            </w:r>
          </w:p>
        </w:tc>
      </w:tr>
      <w:tr w14:paraId="599406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1F700FB">
            <w:pPr>
              <w:pStyle w:val="149"/>
              <w:widowControl w:val="0"/>
              <w:jc w:val="both"/>
              <w:rPr>
                <w:rFonts w:cs="Times New Roman"/>
                <w:sz w:val="20"/>
              </w:rPr>
            </w:pPr>
            <w:r>
              <w:rPr>
                <w:rFonts w:cs="Times New Roman"/>
                <w:sz w:val="20"/>
              </w:rPr>
              <w:t>KBR</w:t>
            </w:r>
          </w:p>
        </w:tc>
        <w:tc>
          <w:tcPr>
            <w:tcW w:w="606" w:type="pct"/>
            <w:shd w:val="clear" w:color="auto" w:fill="auto"/>
            <w:vAlign w:val="center"/>
          </w:tcPr>
          <w:p w14:paraId="6BED6B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E32E7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1E4AA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5C4E5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C368AD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3784FA4">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121583904"/>
      <w:bookmarkStart w:id="165" w:name="_Toc24972503"/>
      <w:bookmarkStart w:id="166" w:name="_Toc167094649"/>
      <w:bookmarkStart w:id="167" w:name="_Toc24028313"/>
      <w:r>
        <w:t>固定功率电容器</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固定功率电容器</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固定功率电容器</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欧洲主要国家固定功率电容器厂商分析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972530"/>
      <w:bookmarkStart w:id="181" w:name="_Toc121583908"/>
      <w:bookmarkStart w:id="182" w:name="_Toc167094655"/>
      <w:bookmarkStart w:id="183" w:name="_Toc24028340"/>
      <w:r>
        <w:rPr>
          <w:rFonts w:hint="eastAsia"/>
        </w:rPr>
        <w:t>ABB</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ABB基本信息、</w:t>
      </w:r>
      <w:bookmarkStart w:id="188" w:name="_Hlk28095203"/>
      <w:r>
        <w:rPr>
          <w:rFonts w:hint="eastAsia"/>
        </w:rPr>
        <w:t>固定功率电容器</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21583637"/>
      <w:bookmarkStart w:id="190" w:name="_Toc26780083"/>
      <w:bookmarkStart w:id="191" w:name="_Toc24028962"/>
      <w:bookmarkStart w:id="192" w:name="_Toc167094572"/>
      <w:r>
        <w:rPr>
          <w:rFonts w:hint="eastAsia"/>
        </w:rPr>
        <w:t>ABB</w:t>
      </w:r>
      <w:r>
        <w:t xml:space="preserve"> </w:t>
      </w:r>
      <w:r>
        <w:rPr>
          <w:rFonts w:hint="eastAsia"/>
        </w:rPr>
        <w:t>固定功率电容器生产基地、总部、竞争对手及市场地位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ABB</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资料来源：ABB；第三方资料、新闻报道、业内专家采访及QYResearch整理研究，2024年</w:t>
      </w:r>
    </w:p>
    <w:p w14:paraId="600CEEC1">
      <w:pPr>
        <w:pStyle w:val="4"/>
      </w:pPr>
      <w:bookmarkStart w:id="193" w:name="_Toc121583910"/>
      <w:bookmarkStart w:id="194" w:name="_Toc24028342"/>
      <w:bookmarkStart w:id="195" w:name="_Toc24972532"/>
      <w:bookmarkStart w:id="196" w:name="_Toc167094657"/>
      <w:r>
        <w:rPr>
          <w:rFonts w:hint="eastAsia"/>
        </w:rPr>
        <w:t>ABB 固定功率电容器产品规格、参数及市场应用</w:t>
      </w:r>
      <w:bookmarkEnd w:id="193"/>
      <w:bookmarkEnd w:id="194"/>
      <w:bookmarkEnd w:id="195"/>
      <w:bookmarkEnd w:id="196"/>
    </w:p>
    <w:p w14:paraId="6B304817">
      <w:pPr>
        <w:pStyle w:val="132"/>
        <w:ind w:left="252" w:right="-105"/>
      </w:pPr>
      <w:bookmarkStart w:id="197" w:name="_Toc167094573"/>
      <w:bookmarkStart w:id="198" w:name="_Toc121583638"/>
      <w:bookmarkStart w:id="199" w:name="_Toc24028963"/>
      <w:bookmarkStart w:id="200" w:name="_Toc26780084"/>
      <w:r>
        <w:rPr>
          <w:rFonts w:hint="eastAsia"/>
        </w:rPr>
        <w:t>ABB 固定功率电容器产品规格、参数及市场应用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资料来源：ABB；第三方资料、新闻报道、业内专家采访及QYResearch整理研究，2024年</w:t>
      </w:r>
    </w:p>
    <w:p w14:paraId="797F85D5">
      <w:pPr>
        <w:pStyle w:val="4"/>
      </w:pPr>
      <w:bookmarkStart w:id="201" w:name="_Toc167094658"/>
      <w:bookmarkStart w:id="202" w:name="_Toc121583912"/>
      <w:bookmarkStart w:id="203" w:name="_Toc24028344"/>
      <w:bookmarkStart w:id="204" w:name="_Toc24972534"/>
      <w:bookmarkStart w:id="205" w:name="_Hlk28108908"/>
      <w:r>
        <w:rPr>
          <w:rFonts w:hint="eastAsia"/>
        </w:rPr>
        <w:t>ABB公司简介及主要业务</w:t>
      </w:r>
      <w:bookmarkEnd w:id="201"/>
      <w:bookmarkEnd w:id="202"/>
      <w:bookmarkEnd w:id="203"/>
      <w:bookmarkEnd w:id="204"/>
    </w:p>
    <w:p w14:paraId="2C3E2EB9">
      <w:pPr>
        <w:pStyle w:val="132"/>
        <w:ind w:left="252" w:right="-105"/>
      </w:pPr>
      <w:bookmarkStart w:id="206" w:name="_Toc24028965"/>
      <w:bookmarkStart w:id="207" w:name="_Toc121583640"/>
      <w:bookmarkStart w:id="208" w:name="_Toc167094574"/>
      <w:bookmarkStart w:id="209" w:name="_Toc26780086"/>
      <w:r>
        <w:rPr>
          <w:rFonts w:hint="eastAsia"/>
        </w:rPr>
        <w:t>ABB公司简介及主要业务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ABB</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资料来源：ABB；第三方资料、新闻报道、业内专家采访及QYResearch整理研究，2024年</w:t>
      </w:r>
    </w:p>
    <w:bookmarkEnd w:id="205"/>
    <w:p w14:paraId="7E015625">
      <w:pPr>
        <w:pStyle w:val="4"/>
      </w:pPr>
      <w:bookmarkStart w:id="210" w:name="_Toc121583913"/>
      <w:bookmarkStart w:id="211" w:name="_Toc167094659"/>
      <w:r>
        <w:rPr>
          <w:rFonts w:hint="eastAsia"/>
        </w:rPr>
        <w:t>ABB企业最新动态</w:t>
      </w:r>
      <w:bookmarkEnd w:id="210"/>
      <w:bookmarkEnd w:id="211"/>
    </w:p>
    <w:p w14:paraId="1452B484">
      <w:pPr>
        <w:pStyle w:val="132"/>
        <w:ind w:left="252" w:right="-105"/>
      </w:pPr>
      <w:bookmarkStart w:id="212" w:name="_Toc121583641"/>
      <w:bookmarkStart w:id="213" w:name="_Toc167094575"/>
      <w:r>
        <w:rPr>
          <w:rFonts w:hint="eastAsia"/>
        </w:rPr>
        <w:t>ABB企业最新动态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资料来源：ABB；第三方资料、新闻报道、业内专家采访及QYResearch整理研究，2024年</w:t>
      </w:r>
    </w:p>
    <w:p w14:paraId="1CF90344">
      <w:pPr>
        <w:pStyle w:val="3"/>
      </w:pPr>
      <w:bookmarkStart w:id="214" w:name="_Toc121583914"/>
      <w:bookmarkStart w:id="215" w:name="_Toc167094660"/>
      <w:r>
        <w:rPr>
          <w:rFonts w:hint="eastAsia"/>
        </w:rPr>
        <w:t>Schneider Electric</w:t>
      </w:r>
      <w:bookmarkEnd w:id="214"/>
      <w:bookmarkEnd w:id="215"/>
    </w:p>
    <w:p w14:paraId="17FEF629"/>
    <w:p w14:paraId="2B364E0D">
      <w:pPr>
        <w:pStyle w:val="4"/>
      </w:pPr>
      <w:bookmarkStart w:id="216" w:name="_Toc121583915"/>
      <w:bookmarkStart w:id="217" w:name="_Toc167094661"/>
      <w:r>
        <w:rPr>
          <w:rFonts w:hint="eastAsia"/>
        </w:rPr>
        <w:t>Schneider Electric基本信息、固定功率电容器生产基地、总部、竞争对手及市场地位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Schneider Electric</w:t>
      </w:r>
      <w:r>
        <w:t xml:space="preserve"> </w:t>
      </w:r>
      <w:r>
        <w:rPr>
          <w:rFonts w:hint="eastAsia"/>
        </w:rPr>
        <w:t>固定功率电容器生产基地、总部、竞争对手及市场地位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Schneider Electric</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资料来源：Schneider Electric；第三方资料、新闻报道、业内专家采访及QYResearch整理研究，2024年</w:t>
      </w:r>
    </w:p>
    <w:p w14:paraId="4BFB72A0">
      <w:pPr>
        <w:pStyle w:val="4"/>
      </w:pPr>
      <w:bookmarkStart w:id="220" w:name="_Toc121583916"/>
      <w:bookmarkStart w:id="221" w:name="_Toc167094662"/>
      <w:r>
        <w:rPr>
          <w:rFonts w:hint="eastAsia"/>
        </w:rPr>
        <w:t>Schneider Electric 固定功率电容器产品规格、参数及市场应用</w:t>
      </w:r>
      <w:bookmarkEnd w:id="220"/>
      <w:bookmarkEnd w:id="221"/>
    </w:p>
    <w:p w14:paraId="08693AE5">
      <w:pPr>
        <w:pStyle w:val="132"/>
        <w:ind w:left="252" w:right="-105"/>
      </w:pPr>
      <w:bookmarkStart w:id="222" w:name="_Toc121583643"/>
      <w:bookmarkStart w:id="223" w:name="_Toc167094577"/>
      <w:r>
        <w:rPr>
          <w:rFonts w:hint="eastAsia"/>
        </w:rPr>
        <w:t>Schneider Electric 固定功率电容器产品规格、参数及市场应用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资料来源：Schneider Electric；第三方资料、新闻报道、业内专家采访及QYResearch整理研究，2024年</w:t>
      </w:r>
    </w:p>
    <w:p w14:paraId="41E26D48">
      <w:pPr>
        <w:pStyle w:val="4"/>
      </w:pPr>
      <w:bookmarkStart w:id="224" w:name="_Toc121583918"/>
      <w:bookmarkStart w:id="225" w:name="_Toc167094663"/>
      <w:r>
        <w:rPr>
          <w:rFonts w:hint="eastAsia"/>
        </w:rPr>
        <w:t>Schneider Electric公司简介及主要业务</w:t>
      </w:r>
      <w:bookmarkEnd w:id="224"/>
      <w:bookmarkEnd w:id="225"/>
    </w:p>
    <w:p w14:paraId="26872AF0">
      <w:pPr>
        <w:pStyle w:val="132"/>
        <w:ind w:left="252" w:right="-105"/>
      </w:pPr>
      <w:bookmarkStart w:id="226" w:name="_Toc121583645"/>
      <w:bookmarkStart w:id="227" w:name="_Toc167094578"/>
      <w:r>
        <w:rPr>
          <w:rFonts w:hint="eastAsia"/>
        </w:rPr>
        <w:t>Schneider Electric公司简介及主要业务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Schneider Electric</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资料来源：Schneider Electric；第三方资料、新闻报道、业内专家采访及QYResearch整理研究，2024年</w:t>
      </w:r>
    </w:p>
    <w:p w14:paraId="1443D1BA">
      <w:pPr>
        <w:pStyle w:val="4"/>
      </w:pPr>
      <w:bookmarkStart w:id="228" w:name="_Toc121583919"/>
      <w:bookmarkStart w:id="229" w:name="_Toc167094664"/>
      <w:r>
        <w:rPr>
          <w:rFonts w:hint="eastAsia"/>
        </w:rPr>
        <w:t>Schneider Electric企业最新动态</w:t>
      </w:r>
      <w:bookmarkEnd w:id="228"/>
      <w:bookmarkEnd w:id="229"/>
    </w:p>
    <w:p w14:paraId="08D18632">
      <w:pPr>
        <w:pStyle w:val="132"/>
        <w:ind w:left="252" w:right="-105"/>
      </w:pPr>
      <w:bookmarkStart w:id="230" w:name="_Toc121583646"/>
      <w:bookmarkStart w:id="231" w:name="_Toc167094579"/>
      <w:r>
        <w:rPr>
          <w:rFonts w:hint="eastAsia"/>
        </w:rPr>
        <w:t>Schneider Electric企业最新动态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资料来源：Schneider Electric；第三方资料、新闻报道、业内专家采访及QYResearch整理研究，2024年</w:t>
      </w:r>
    </w:p>
    <w:p w14:paraId="4D239C5E">
      <w:pPr>
        <w:pStyle w:val="3"/>
      </w:pPr>
      <w:bookmarkStart w:id="232" w:name="_Toc121583920"/>
      <w:bookmarkStart w:id="233" w:name="_Toc167094665"/>
      <w:r>
        <w:rPr>
          <w:rFonts w:hint="eastAsia"/>
        </w:rPr>
        <w:t>Eaton</w:t>
      </w:r>
      <w:bookmarkEnd w:id="232"/>
      <w:bookmarkEnd w:id="233"/>
    </w:p>
    <w:p w14:paraId="6A32A19B"/>
    <w:p w14:paraId="336EA0E2">
      <w:pPr>
        <w:pStyle w:val="4"/>
      </w:pPr>
      <w:bookmarkStart w:id="234" w:name="_Toc121583921"/>
      <w:bookmarkStart w:id="235" w:name="_Toc167094666"/>
      <w:r>
        <w:rPr>
          <w:rFonts w:hint="eastAsia"/>
        </w:rPr>
        <w:t>Eaton基本信息、固定功率电容器生产基地、总部、竞争对手及市场地位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Eaton</w:t>
      </w:r>
      <w:r>
        <w:t xml:space="preserve"> </w:t>
      </w:r>
      <w:r>
        <w:rPr>
          <w:rFonts w:hint="eastAsia"/>
        </w:rPr>
        <w:t>固定功率电容器生产基地、总部、竞争对手及市场地位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Eaton</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资料来源：Eaton；第三方资料、新闻报道、业内专家采访及QYResearch整理研究，2024年</w:t>
      </w:r>
    </w:p>
    <w:p w14:paraId="64D3D539">
      <w:pPr>
        <w:pStyle w:val="4"/>
      </w:pPr>
      <w:bookmarkStart w:id="238" w:name="_Toc167094667"/>
      <w:bookmarkStart w:id="239" w:name="_Toc121583922"/>
      <w:r>
        <w:rPr>
          <w:rFonts w:hint="eastAsia"/>
        </w:rPr>
        <w:t>Eaton 固定功率电容器产品规格、参数及市场应用</w:t>
      </w:r>
      <w:bookmarkEnd w:id="238"/>
      <w:bookmarkEnd w:id="239"/>
    </w:p>
    <w:p w14:paraId="2DA7D236">
      <w:pPr>
        <w:pStyle w:val="132"/>
        <w:ind w:left="252" w:right="-105"/>
      </w:pPr>
      <w:bookmarkStart w:id="240" w:name="_Toc167094581"/>
      <w:bookmarkStart w:id="241" w:name="_Toc121583648"/>
      <w:r>
        <w:rPr>
          <w:rFonts w:hint="eastAsia"/>
        </w:rPr>
        <w:t>Eaton 固定功率电容器产品规格、参数及市场应用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资料来源：Eaton；第三方资料、新闻报道、业内专家采访及QYResearch整理研究，2024年</w:t>
      </w:r>
    </w:p>
    <w:p w14:paraId="54DD4B25">
      <w:pPr>
        <w:pStyle w:val="4"/>
      </w:pPr>
      <w:bookmarkStart w:id="242" w:name="_Toc121583924"/>
      <w:bookmarkStart w:id="243" w:name="_Toc167094668"/>
      <w:r>
        <w:rPr>
          <w:rFonts w:hint="eastAsia"/>
        </w:rPr>
        <w:t>Eaton公司简介及主要业务</w:t>
      </w:r>
      <w:bookmarkEnd w:id="242"/>
      <w:bookmarkEnd w:id="243"/>
    </w:p>
    <w:p w14:paraId="4898A3FB">
      <w:pPr>
        <w:pStyle w:val="132"/>
        <w:ind w:left="252" w:right="-105"/>
      </w:pPr>
      <w:bookmarkStart w:id="244" w:name="_Toc167094582"/>
      <w:bookmarkStart w:id="245" w:name="_Toc121583650"/>
      <w:r>
        <w:rPr>
          <w:rFonts w:hint="eastAsia"/>
        </w:rPr>
        <w:t>Eaton公司简介及主要业务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Eaton</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资料来源：Eaton；第三方资料、新闻报道、业内专家采访及QYResearch整理研究，2024年</w:t>
      </w:r>
    </w:p>
    <w:p w14:paraId="0FDEA2FA">
      <w:pPr>
        <w:pStyle w:val="4"/>
      </w:pPr>
      <w:bookmarkStart w:id="246" w:name="_Toc121583925"/>
      <w:bookmarkStart w:id="247" w:name="_Toc167094669"/>
      <w:r>
        <w:rPr>
          <w:rFonts w:hint="eastAsia"/>
        </w:rPr>
        <w:t>Eaton企业最新动态</w:t>
      </w:r>
      <w:bookmarkEnd w:id="246"/>
      <w:bookmarkEnd w:id="247"/>
    </w:p>
    <w:p w14:paraId="6B1F1CDF">
      <w:pPr>
        <w:pStyle w:val="132"/>
        <w:ind w:left="252" w:right="-105"/>
      </w:pPr>
      <w:bookmarkStart w:id="248" w:name="_Toc121583651"/>
      <w:bookmarkStart w:id="249" w:name="_Toc167094583"/>
      <w:r>
        <w:rPr>
          <w:rFonts w:hint="eastAsia"/>
        </w:rPr>
        <w:t>Eaton企业最新动态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资料来源：Eaton；第三方资料、新闻报道、业内专家采访及QYResearch整理研究，2024年</w:t>
      </w:r>
    </w:p>
    <w:p w14:paraId="0F067400">
      <w:pPr>
        <w:pStyle w:val="3"/>
      </w:pPr>
      <w:bookmarkStart w:id="250" w:name="_Toc167094670"/>
      <w:bookmarkStart w:id="251" w:name="_Toc121583926"/>
      <w:r>
        <w:rPr>
          <w:rFonts w:hint="eastAsia"/>
        </w:rPr>
        <w:t>Nissin Electric</w:t>
      </w:r>
      <w:bookmarkEnd w:id="250"/>
      <w:bookmarkEnd w:id="251"/>
    </w:p>
    <w:p w14:paraId="059CD5D5"/>
    <w:p w14:paraId="26C15806">
      <w:pPr>
        <w:pStyle w:val="3"/>
      </w:pPr>
      <w:bookmarkStart w:id="252" w:name="_Toc167094671"/>
      <w:bookmarkStart w:id="253" w:name="_Toc121583932"/>
      <w:r>
        <w:rPr>
          <w:rFonts w:hint="eastAsia"/>
        </w:rPr>
        <w:t>China XD</w:t>
      </w:r>
      <w:bookmarkEnd w:id="252"/>
      <w:bookmarkEnd w:id="253"/>
    </w:p>
    <w:p w14:paraId="625AB612"/>
    <w:p w14:paraId="33DDFD6D">
      <w:pPr>
        <w:pStyle w:val="3"/>
      </w:pPr>
      <w:bookmarkStart w:id="254" w:name="_Toc121583938"/>
      <w:bookmarkStart w:id="255" w:name="_Toc167094672"/>
      <w:r>
        <w:rPr>
          <w:rFonts w:hint="eastAsia"/>
        </w:rPr>
        <w:t>Siyuan</w:t>
      </w:r>
      <w:bookmarkEnd w:id="254"/>
      <w:bookmarkEnd w:id="255"/>
    </w:p>
    <w:p w14:paraId="66501FA1"/>
    <w:p w14:paraId="5FACBF27">
      <w:pPr>
        <w:pStyle w:val="3"/>
      </w:pPr>
      <w:bookmarkStart w:id="256" w:name="_Toc167094673"/>
      <w:bookmarkStart w:id="257" w:name="_Toc121583944"/>
      <w:r>
        <w:rPr>
          <w:rFonts w:hint="eastAsia"/>
        </w:rPr>
        <w:t>Guilin Power Capacitor</w:t>
      </w:r>
      <w:bookmarkEnd w:id="256"/>
      <w:bookmarkEnd w:id="257"/>
    </w:p>
    <w:p w14:paraId="012E26FE"/>
    <w:p w14:paraId="67290366">
      <w:pPr>
        <w:pStyle w:val="3"/>
      </w:pPr>
      <w:bookmarkStart w:id="258" w:name="_Toc121583950"/>
      <w:bookmarkStart w:id="259" w:name="_Toc167094674"/>
      <w:r>
        <w:rPr>
          <w:rFonts w:hint="eastAsia"/>
        </w:rPr>
        <w:t>Electronicon</w:t>
      </w:r>
      <w:bookmarkEnd w:id="258"/>
      <w:bookmarkEnd w:id="259"/>
    </w:p>
    <w:p w14:paraId="2B744AAE"/>
    <w:p w14:paraId="2645DED4">
      <w:pPr>
        <w:pStyle w:val="3"/>
      </w:pPr>
      <w:bookmarkStart w:id="260" w:name="_Toc121583956"/>
      <w:bookmarkStart w:id="261" w:name="_Toc167094675"/>
      <w:r>
        <w:rPr>
          <w:rFonts w:hint="eastAsia"/>
        </w:rPr>
        <w:t>GE Grid Solutions</w:t>
      </w:r>
      <w:bookmarkEnd w:id="260"/>
      <w:bookmarkEnd w:id="261"/>
    </w:p>
    <w:p w14:paraId="618227DB"/>
    <w:p w14:paraId="3AFA8022">
      <w:pPr>
        <w:pStyle w:val="3"/>
      </w:pPr>
      <w:bookmarkStart w:id="262" w:name="_Toc167094676"/>
      <w:bookmarkStart w:id="263" w:name="_Toc121583962"/>
      <w:r>
        <w:rPr>
          <w:rFonts w:hint="eastAsia"/>
        </w:rPr>
        <w:t>Herong Electric</w:t>
      </w:r>
      <w:bookmarkEnd w:id="262"/>
      <w:bookmarkEnd w:id="263"/>
    </w:p>
    <w:p w14:paraId="371270C5"/>
    <w:p w14:paraId="5B36D186">
      <w:pPr>
        <w:pStyle w:val="3"/>
      </w:pPr>
      <w:bookmarkStart w:id="264" w:name="_Toc121583968"/>
      <w:bookmarkStart w:id="265" w:name="_Toc167094677"/>
      <w:r>
        <w:rPr>
          <w:rFonts w:hint="eastAsia"/>
        </w:rPr>
        <w:t>New Northeast Electric</w:t>
      </w:r>
      <w:bookmarkEnd w:id="264"/>
      <w:bookmarkEnd w:id="265"/>
    </w:p>
    <w:p w14:paraId="6110DC1E"/>
    <w:p w14:paraId="401DF628">
      <w:pPr>
        <w:pStyle w:val="3"/>
      </w:pPr>
      <w:bookmarkStart w:id="266" w:name="_Toc167094678"/>
      <w:bookmarkStart w:id="267" w:name="_Toc121583974"/>
      <w:r>
        <w:rPr>
          <w:rFonts w:hint="eastAsia"/>
        </w:rPr>
        <w:t>TDK</w:t>
      </w:r>
      <w:bookmarkEnd w:id="266"/>
      <w:bookmarkEnd w:id="267"/>
    </w:p>
    <w:p w14:paraId="58792FA0"/>
    <w:p w14:paraId="3907FB57">
      <w:pPr>
        <w:pStyle w:val="3"/>
      </w:pPr>
      <w:bookmarkStart w:id="268" w:name="_Toc121583980"/>
      <w:bookmarkStart w:id="269" w:name="_Toc167094679"/>
      <w:r>
        <w:rPr>
          <w:rFonts w:hint="eastAsia"/>
        </w:rPr>
        <w:t>Vishay</w:t>
      </w:r>
      <w:bookmarkEnd w:id="268"/>
      <w:bookmarkEnd w:id="269"/>
    </w:p>
    <w:p w14:paraId="024211D9"/>
    <w:p w14:paraId="6BC93CC3">
      <w:pPr>
        <w:pStyle w:val="3"/>
      </w:pPr>
      <w:bookmarkStart w:id="270" w:name="_Toc121583986"/>
      <w:bookmarkStart w:id="271" w:name="_Toc167094680"/>
      <w:r>
        <w:rPr>
          <w:rFonts w:hint="eastAsia"/>
        </w:rPr>
        <w:t>L&amp;T</w:t>
      </w:r>
      <w:bookmarkEnd w:id="270"/>
      <w:bookmarkEnd w:id="271"/>
    </w:p>
    <w:p w14:paraId="222CE2CD"/>
    <w:p w14:paraId="0C9858DD">
      <w:pPr>
        <w:pStyle w:val="3"/>
      </w:pPr>
      <w:bookmarkStart w:id="272" w:name="_Toc121583992"/>
      <w:bookmarkStart w:id="273" w:name="_Toc167094681"/>
      <w:r>
        <w:rPr>
          <w:rFonts w:hint="eastAsia"/>
        </w:rPr>
        <w:t>LIFASA</w:t>
      </w:r>
      <w:bookmarkEnd w:id="272"/>
      <w:bookmarkEnd w:id="273"/>
    </w:p>
    <w:p w14:paraId="4B95BEF9"/>
    <w:p w14:paraId="587B5336">
      <w:pPr>
        <w:pStyle w:val="3"/>
      </w:pPr>
      <w:bookmarkStart w:id="274" w:name="_Toc121583998"/>
      <w:bookmarkStart w:id="275" w:name="_Toc167094682"/>
      <w:r>
        <w:rPr>
          <w:rFonts w:hint="eastAsia"/>
        </w:rPr>
        <w:t>Shreem Electric</w:t>
      </w:r>
      <w:bookmarkEnd w:id="274"/>
      <w:bookmarkEnd w:id="275"/>
    </w:p>
    <w:p w14:paraId="0E342319"/>
    <w:p w14:paraId="5ABCF515">
      <w:pPr>
        <w:pStyle w:val="3"/>
      </w:pPr>
      <w:bookmarkStart w:id="276" w:name="_Toc121584004"/>
      <w:bookmarkStart w:id="277" w:name="_Toc167094683"/>
      <w:r>
        <w:rPr>
          <w:rFonts w:hint="eastAsia"/>
        </w:rPr>
        <w:t>Frako</w:t>
      </w:r>
      <w:bookmarkEnd w:id="276"/>
      <w:bookmarkEnd w:id="277"/>
    </w:p>
    <w:p w14:paraId="1E1307AA"/>
    <w:p w14:paraId="1297CC02">
      <w:pPr>
        <w:pStyle w:val="3"/>
      </w:pPr>
      <w:bookmarkStart w:id="278" w:name="_Toc167094684"/>
      <w:bookmarkStart w:id="279" w:name="_Toc121584010"/>
      <w:r>
        <w:rPr>
          <w:rFonts w:hint="eastAsia"/>
        </w:rPr>
        <w:t>RTR</w:t>
      </w:r>
      <w:bookmarkEnd w:id="278"/>
      <w:bookmarkEnd w:id="279"/>
    </w:p>
    <w:p w14:paraId="647A21D2"/>
    <w:p w14:paraId="6B38495B">
      <w:pPr>
        <w:pStyle w:val="3"/>
      </w:pPr>
      <w:bookmarkStart w:id="280" w:name="_Toc167094685"/>
      <w:bookmarkStart w:id="281" w:name="_Toc121584016"/>
      <w:r>
        <w:rPr>
          <w:rFonts w:hint="eastAsia"/>
        </w:rPr>
        <w:t>ICAR</w:t>
      </w:r>
      <w:bookmarkEnd w:id="280"/>
      <w:bookmarkEnd w:id="281"/>
    </w:p>
    <w:p w14:paraId="6963232A"/>
    <w:p w14:paraId="7EFE0A2E">
      <w:pPr>
        <w:pStyle w:val="3"/>
      </w:pPr>
      <w:bookmarkStart w:id="282" w:name="_Toc167094686"/>
      <w:bookmarkStart w:id="283" w:name="_Toc121584022"/>
      <w:r>
        <w:rPr>
          <w:rFonts w:hint="eastAsia"/>
        </w:rPr>
        <w:t>DUCATI</w:t>
      </w:r>
      <w:bookmarkEnd w:id="282"/>
      <w:bookmarkEnd w:id="283"/>
    </w:p>
    <w:p w14:paraId="72D99213"/>
    <w:p w14:paraId="0E7F61C4">
      <w:pPr>
        <w:pStyle w:val="3"/>
      </w:pPr>
      <w:bookmarkStart w:id="284" w:name="_Toc121584028"/>
      <w:bookmarkStart w:id="285" w:name="_Toc167094687"/>
      <w:r>
        <w:rPr>
          <w:rFonts w:hint="eastAsia"/>
        </w:rPr>
        <w:t>ZEZ</w:t>
      </w:r>
      <w:bookmarkEnd w:id="284"/>
      <w:bookmarkEnd w:id="285"/>
    </w:p>
    <w:p w14:paraId="47D650CD"/>
    <w:p w14:paraId="24AD960A">
      <w:pPr>
        <w:pStyle w:val="3"/>
      </w:pPr>
      <w:bookmarkStart w:id="286" w:name="_Toc167094688"/>
      <w:bookmarkStart w:id="287" w:name="_Toc121584034"/>
      <w:r>
        <w:rPr>
          <w:rFonts w:hint="eastAsia"/>
        </w:rPr>
        <w:t>ACPES</w:t>
      </w:r>
      <w:bookmarkEnd w:id="286"/>
      <w:bookmarkEnd w:id="287"/>
    </w:p>
    <w:p w14:paraId="3261C737"/>
    <w:p w14:paraId="1276FE42">
      <w:pPr>
        <w:pStyle w:val="3"/>
      </w:pPr>
      <w:bookmarkStart w:id="288" w:name="_Toc121584040"/>
      <w:bookmarkStart w:id="289" w:name="_Toc167094689"/>
      <w:r>
        <w:rPr>
          <w:rFonts w:hint="eastAsia"/>
        </w:rPr>
        <w:t>CIRCUTOR</w:t>
      </w:r>
      <w:bookmarkEnd w:id="288"/>
      <w:bookmarkEnd w:id="289"/>
    </w:p>
    <w:p w14:paraId="7A04F640"/>
    <w:p w14:paraId="20FB9D5D">
      <w:pPr>
        <w:pStyle w:val="3"/>
      </w:pPr>
      <w:bookmarkStart w:id="290" w:name="_Toc121584046"/>
      <w:bookmarkStart w:id="291" w:name="_Toc167094690"/>
      <w:r>
        <w:rPr>
          <w:rFonts w:hint="eastAsia"/>
        </w:rPr>
        <w:t>COMAR</w:t>
      </w:r>
      <w:bookmarkEnd w:id="290"/>
      <w:bookmarkEnd w:id="291"/>
    </w:p>
    <w:p w14:paraId="6FD0B5C6"/>
    <w:p w14:paraId="54B57EA1">
      <w:pPr>
        <w:pStyle w:val="3"/>
      </w:pPr>
      <w:bookmarkStart w:id="292" w:name="_Toc167094691"/>
      <w:bookmarkStart w:id="293" w:name="_Toc121584052"/>
      <w:r>
        <w:rPr>
          <w:rFonts w:hint="eastAsia"/>
        </w:rPr>
        <w:t>Franke GMKP</w:t>
      </w:r>
      <w:bookmarkEnd w:id="292"/>
      <w:bookmarkEnd w:id="293"/>
    </w:p>
    <w:p w14:paraId="51C7D11C"/>
    <w:p w14:paraId="0455BBF2">
      <w:pPr>
        <w:pStyle w:val="3"/>
      </w:pPr>
      <w:bookmarkStart w:id="294" w:name="_Toc167094692"/>
      <w:bookmarkStart w:id="295" w:name="_Toc121584058"/>
      <w:r>
        <w:rPr>
          <w:rFonts w:hint="eastAsia"/>
        </w:rPr>
        <w:t>AB Power System</w:t>
      </w:r>
      <w:bookmarkEnd w:id="294"/>
      <w:bookmarkEnd w:id="295"/>
    </w:p>
    <w:p w14:paraId="6817DE4C"/>
    <w:p w14:paraId="59334F7B">
      <w:pPr>
        <w:pStyle w:val="3"/>
      </w:pPr>
      <w:bookmarkStart w:id="296" w:name="_Toc121584064"/>
      <w:bookmarkStart w:id="297" w:name="_Toc167094693"/>
      <w:r>
        <w:rPr>
          <w:rFonts w:hint="eastAsia"/>
        </w:rPr>
        <w:t>KBR</w:t>
      </w:r>
      <w:bookmarkEnd w:id="296"/>
      <w:bookmarkEnd w:id="297"/>
    </w:p>
    <w:p w14:paraId="207D11A1"/>
    <w:bookmarkEnd w:id="19"/>
    <w:p w14:paraId="764DD197">
      <w:pPr>
        <w:pStyle w:val="2"/>
        <w:rPr>
          <w:lang w:eastAsia="zh-CN"/>
        </w:rPr>
      </w:pPr>
      <w:bookmarkStart w:id="298" w:name="_Toc167094707"/>
      <w:bookmarkStart w:id="299" w:name="_Hlk28096052"/>
      <w:bookmarkStart w:id="300" w:name="_Hlk50985774"/>
      <w:r>
        <w:rPr>
          <w:rFonts w:hint="eastAsia"/>
          <w:lang w:eastAsia="zh-CN"/>
        </w:rPr>
        <w:t>销售渠道及客户偏好分析</w:t>
      </w:r>
      <w:bookmarkEnd w:id="298"/>
    </w:p>
    <w:p w14:paraId="413E169E">
      <w:pPr>
        <w:pStyle w:val="3"/>
        <w:rPr>
          <w:lang w:val="en-IN"/>
        </w:rPr>
      </w:pPr>
      <w:bookmarkStart w:id="301" w:name="_Toc167094708"/>
      <w:r>
        <w:rPr>
          <w:rFonts w:hint="eastAsia"/>
        </w:rPr>
        <w:t>欧洲</w:t>
      </w:r>
      <w:r>
        <w:rPr>
          <w:rFonts w:hint="eastAsia"/>
          <w:lang w:val="en-IN"/>
        </w:rPr>
        <w:t>市场</w:t>
      </w:r>
      <w:r>
        <w:t>固定功率电容器</w:t>
      </w:r>
      <w:r>
        <w:rPr>
          <w:rFonts w:hint="eastAsia"/>
        </w:rPr>
        <w:t>消费形态及客户偏好</w:t>
      </w:r>
      <w:bookmarkEnd w:id="301"/>
    </w:p>
    <w:p w14:paraId="5E81B9E6">
      <w:pPr>
        <w:pStyle w:val="128"/>
        <w:ind w:firstLine="420"/>
      </w:pPr>
    </w:p>
    <w:p w14:paraId="7CF5E180">
      <w:pPr>
        <w:pStyle w:val="128"/>
        <w:ind w:firstLine="420"/>
      </w:pPr>
    </w:p>
    <w:p w14:paraId="75F3C1A6">
      <w:pPr>
        <w:pStyle w:val="128"/>
        <w:ind w:firstLine="420"/>
      </w:pPr>
    </w:p>
    <w:p w14:paraId="7EA4E372">
      <w:pPr>
        <w:pStyle w:val="3"/>
      </w:pPr>
      <w:bookmarkStart w:id="302" w:name="_Toc121584178"/>
      <w:bookmarkStart w:id="303" w:name="_Toc167094709"/>
      <w:r>
        <w:rPr>
          <w:rFonts w:hint="eastAsia"/>
        </w:rPr>
        <w:t>欧洲</w:t>
      </w:r>
      <w:r>
        <w:rPr>
          <w:rFonts w:hint="eastAsia"/>
          <w:lang w:val="en-IN"/>
        </w:rPr>
        <w:t>市场</w:t>
      </w:r>
      <w:r>
        <w:t>固定功率电容器</w:t>
      </w:r>
      <w:bookmarkEnd w:id="302"/>
      <w:r>
        <w:rPr>
          <w:rFonts w:hint="eastAsia"/>
        </w:rPr>
        <w:t>代表性客户分析</w:t>
      </w:r>
      <w:bookmarkEnd w:id="303"/>
    </w:p>
    <w:p w14:paraId="16B67A7D">
      <w:pPr>
        <w:pStyle w:val="128"/>
        <w:ind w:firstLine="420"/>
        <w:rPr>
          <w:lang w:eastAsia="zh-CN"/>
        </w:rPr>
      </w:pPr>
    </w:p>
    <w:p w14:paraId="7185BA70">
      <w:pPr>
        <w:pStyle w:val="132"/>
        <w:ind w:left="252" w:right="-105"/>
      </w:pPr>
      <w:bookmarkStart w:id="304" w:name="_Toc167094584"/>
      <w:r>
        <w:rPr>
          <w:rFonts w:hint="eastAsia"/>
        </w:rPr>
        <w:t>欧洲本土</w:t>
      </w:r>
      <w:r>
        <w:t>固定功率电容器</w:t>
      </w:r>
      <w:r>
        <w:rPr>
          <w:rFonts w:hint="eastAsia"/>
        </w:rPr>
        <w:t>代表性客户分析</w:t>
      </w:r>
      <w:bookmarkEnd w:id="304"/>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305" w:name="_Toc167094710"/>
      <w:r>
        <w:rPr>
          <w:rFonts w:hint="eastAsia"/>
        </w:rPr>
        <w:t>欧洲市场</w:t>
      </w:r>
      <w:r>
        <w:t>固定功率电容器</w:t>
      </w:r>
      <w:r>
        <w:rPr>
          <w:rFonts w:hint="eastAsia"/>
        </w:rPr>
        <w:t>销售渠道及销售模式分析</w:t>
      </w:r>
      <w:bookmarkEnd w:id="305"/>
    </w:p>
    <w:p w14:paraId="4DED5238">
      <w:pPr>
        <w:pStyle w:val="4"/>
      </w:pPr>
      <w:bookmarkStart w:id="306" w:name="_Toc167094711"/>
      <w:r>
        <w:rPr>
          <w:rFonts w:hint="eastAsia"/>
        </w:rPr>
        <w:t>直销模式</w:t>
      </w:r>
      <w:bookmarkEnd w:id="306"/>
    </w:p>
    <w:p w14:paraId="59862754">
      <w:pPr>
        <w:pStyle w:val="128"/>
        <w:ind w:firstLine="420"/>
        <w:rPr>
          <w:lang w:eastAsia="zh-CN"/>
        </w:rPr>
      </w:pPr>
    </w:p>
    <w:p w14:paraId="70E3ACFB">
      <w:pPr>
        <w:pStyle w:val="128"/>
        <w:ind w:firstLine="420"/>
        <w:rPr>
          <w:lang w:eastAsia="zh-CN"/>
        </w:rPr>
      </w:pPr>
    </w:p>
    <w:p w14:paraId="2B00423D">
      <w:pPr>
        <w:pStyle w:val="4"/>
      </w:pPr>
      <w:bookmarkStart w:id="307" w:name="_Toc167094712"/>
      <w:r>
        <w:rPr>
          <w:rFonts w:hint="eastAsia"/>
        </w:rPr>
        <w:t>经销/代理模式</w:t>
      </w:r>
      <w:bookmarkEnd w:id="307"/>
    </w:p>
    <w:p w14:paraId="0A58E88B">
      <w:pPr>
        <w:pStyle w:val="128"/>
        <w:ind w:firstLine="420"/>
        <w:rPr>
          <w:lang w:eastAsia="zh-CN"/>
        </w:rPr>
      </w:pPr>
    </w:p>
    <w:p w14:paraId="0EF93071">
      <w:pPr>
        <w:pStyle w:val="128"/>
        <w:ind w:firstLine="420"/>
        <w:rPr>
          <w:lang w:eastAsia="zh-CN"/>
        </w:rPr>
      </w:pPr>
    </w:p>
    <w:p w14:paraId="317FFEC5">
      <w:pPr>
        <w:pStyle w:val="4"/>
      </w:pPr>
      <w:bookmarkStart w:id="308" w:name="_Toc167094713"/>
      <w:r>
        <w:rPr>
          <w:rFonts w:hint="eastAsia"/>
        </w:rPr>
        <w:t>销售渠道分析</w:t>
      </w:r>
      <w:bookmarkEnd w:id="308"/>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309" w:name="_Toc167094714"/>
      <w:r>
        <w:rPr>
          <w:rFonts w:hint="eastAsia"/>
        </w:rPr>
        <w:t>欧洲市场</w:t>
      </w:r>
      <w:r>
        <w:t>固定功率电容器</w:t>
      </w:r>
      <w:r>
        <w:rPr>
          <w:rFonts w:hint="eastAsia"/>
        </w:rPr>
        <w:t>代表性代理商分析</w:t>
      </w:r>
      <w:bookmarkEnd w:id="309"/>
    </w:p>
    <w:p w14:paraId="3A7D8231">
      <w:pPr>
        <w:pStyle w:val="128"/>
        <w:ind w:firstLine="420"/>
        <w:rPr>
          <w:lang w:eastAsia="zh-CN"/>
        </w:rPr>
      </w:pPr>
    </w:p>
    <w:p w14:paraId="5CC97965">
      <w:pPr>
        <w:pStyle w:val="132"/>
        <w:ind w:left="252" w:right="-105"/>
      </w:pPr>
      <w:bookmarkStart w:id="310" w:name="_Toc167094585"/>
      <w:r>
        <w:rPr>
          <w:rFonts w:hint="eastAsia"/>
        </w:rPr>
        <w:t>欧洲市场</w:t>
      </w:r>
      <w:r>
        <w:t>固定功率电容器</w:t>
      </w:r>
      <w:r>
        <w:rPr>
          <w:rFonts w:hint="eastAsia"/>
        </w:rPr>
        <w:t>代理商列表</w:t>
      </w:r>
      <w:bookmarkEnd w:id="31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311" w:name="_Toc121584180"/>
      <w:bookmarkStart w:id="312" w:name="_Toc43885444"/>
      <w:bookmarkStart w:id="313" w:name="_Toc59105060"/>
      <w:bookmarkStart w:id="314" w:name="_Toc167094715"/>
      <w:bookmarkStart w:id="315" w:name="_Toc43885438"/>
      <w:bookmarkStart w:id="316" w:name="_Toc59105054"/>
      <w:bookmarkStart w:id="317" w:name="_Toc121584175"/>
      <w:r>
        <w:t>固定功率电容器</w:t>
      </w:r>
      <w:r>
        <w:rPr>
          <w:rFonts w:hint="eastAsia"/>
        </w:rPr>
        <w:t>行业生产模式</w:t>
      </w:r>
      <w:bookmarkEnd w:id="311"/>
      <w:bookmarkEnd w:id="312"/>
      <w:bookmarkEnd w:id="313"/>
      <w:bookmarkEnd w:id="314"/>
    </w:p>
    <w:p w14:paraId="1F71F5BE">
      <w:pPr>
        <w:pStyle w:val="130"/>
      </w:pPr>
      <w:bookmarkStart w:id="318" w:name="_Toc59105380"/>
      <w:bookmarkStart w:id="319" w:name="_Toc121583618"/>
      <w:bookmarkStart w:id="320" w:name="_Toc43885079"/>
      <w:bookmarkStart w:id="321" w:name="_Toc167094560"/>
      <w:r>
        <w:t>固定功率电容器</w:t>
      </w:r>
      <w:r>
        <w:rPr>
          <w:rFonts w:hint="eastAsia"/>
        </w:rPr>
        <w:t>行业生产模式分析</w:t>
      </w:r>
      <w:bookmarkEnd w:id="318"/>
      <w:bookmarkEnd w:id="319"/>
      <w:bookmarkEnd w:id="320"/>
      <w:bookmarkEnd w:id="321"/>
    </w:p>
    <w:p w14:paraId="71ED4699">
      <w:pPr>
        <w:rPr>
          <w:lang w:val="en-IN"/>
        </w:rPr>
      </w:pPr>
    </w:p>
    <w:p w14:paraId="36BA4DD9">
      <w:pPr>
        <w:pStyle w:val="126"/>
      </w:pPr>
      <w:r>
        <w:rPr>
          <w:rFonts w:hint="eastAsia"/>
        </w:rPr>
        <w:t>资料来源：QYResearch</w:t>
      </w:r>
    </w:p>
    <w:bookmarkEnd w:id="315"/>
    <w:bookmarkEnd w:id="316"/>
    <w:bookmarkEnd w:id="317"/>
    <w:p w14:paraId="4AE71D99">
      <w:pPr>
        <w:pStyle w:val="3"/>
      </w:pPr>
      <w:bookmarkStart w:id="322" w:name="_Toc121584186"/>
      <w:bookmarkStart w:id="323" w:name="_Toc167094716"/>
      <w:r>
        <w:rPr>
          <w:rFonts w:hint="eastAsia"/>
        </w:rPr>
        <w:t>欧洲</w:t>
      </w:r>
      <w:r>
        <w:t>固定功率电容器</w:t>
      </w:r>
      <w:r>
        <w:rPr>
          <w:rFonts w:hint="eastAsia"/>
        </w:rPr>
        <w:t>进出口分析</w:t>
      </w:r>
      <w:bookmarkEnd w:id="322"/>
      <w:bookmarkEnd w:id="323"/>
    </w:p>
    <w:p w14:paraId="22D9605A">
      <w:pPr>
        <w:pStyle w:val="4"/>
      </w:pPr>
      <w:bookmarkStart w:id="324" w:name="_Toc167094717"/>
      <w:bookmarkStart w:id="325" w:name="_Toc24028559"/>
      <w:bookmarkStart w:id="326" w:name="_Toc24972749"/>
      <w:bookmarkStart w:id="327" w:name="_Toc121584187"/>
      <w:r>
        <w:rPr>
          <w:rFonts w:hint="eastAsia"/>
        </w:rPr>
        <w:t>欧洲市场</w:t>
      </w:r>
      <w:r>
        <w:t>固定功率电容器</w:t>
      </w:r>
      <w:r>
        <w:rPr>
          <w:rFonts w:hint="eastAsia"/>
        </w:rPr>
        <w:t>主要进口来源</w:t>
      </w:r>
      <w:bookmarkEnd w:id="324"/>
      <w:bookmarkEnd w:id="325"/>
      <w:bookmarkEnd w:id="326"/>
      <w:bookmarkEnd w:id="327"/>
    </w:p>
    <w:p w14:paraId="085217AB">
      <w:pPr>
        <w:pStyle w:val="132"/>
        <w:ind w:left="252" w:right="-105"/>
      </w:pPr>
      <w:bookmarkStart w:id="328" w:name="_Toc167094586"/>
      <w:bookmarkStart w:id="329" w:name="_Toc121583864"/>
      <w:bookmarkStart w:id="330" w:name="_Toc24029146"/>
      <w:bookmarkStart w:id="331" w:name="_Toc26780257"/>
      <w:r>
        <w:rPr>
          <w:rFonts w:hint="eastAsia"/>
        </w:rPr>
        <w:t>欧洲市场固定功率电容器主要进口来源</w:t>
      </w:r>
      <w:bookmarkEnd w:id="328"/>
      <w:bookmarkEnd w:id="329"/>
      <w:bookmarkEnd w:id="330"/>
      <w:bookmarkEnd w:id="3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32" w:name="_Toc167094561"/>
      <w:r>
        <w:rPr>
          <w:rFonts w:hint="eastAsia"/>
        </w:rPr>
        <w:t>欧洲市场</w:t>
      </w:r>
      <w:r>
        <w:t>固定功率电容器</w:t>
      </w:r>
      <w:r>
        <w:rPr>
          <w:rFonts w:hint="eastAsia"/>
        </w:rPr>
        <w:t>主要来源地进口占比（2023）</w:t>
      </w:r>
      <w:bookmarkEnd w:id="332"/>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33" w:name="_Toc24972750"/>
      <w:bookmarkStart w:id="334" w:name="_Toc24028560"/>
      <w:bookmarkStart w:id="335" w:name="_Toc121584188"/>
      <w:bookmarkStart w:id="336" w:name="_Toc167094718"/>
      <w:r>
        <w:rPr>
          <w:rFonts w:hint="eastAsia"/>
        </w:rPr>
        <w:t>欧洲市场</w:t>
      </w:r>
      <w:r>
        <w:t>固定功率电容器</w:t>
      </w:r>
      <w:r>
        <w:rPr>
          <w:rFonts w:hint="eastAsia"/>
        </w:rPr>
        <w:t>主要出口目的地</w:t>
      </w:r>
      <w:bookmarkEnd w:id="333"/>
      <w:bookmarkEnd w:id="334"/>
      <w:bookmarkEnd w:id="335"/>
      <w:bookmarkEnd w:id="336"/>
    </w:p>
    <w:p w14:paraId="2670D013">
      <w:pPr>
        <w:pStyle w:val="132"/>
        <w:ind w:left="252" w:right="-105"/>
      </w:pPr>
      <w:bookmarkStart w:id="337" w:name="_Toc26780258"/>
      <w:bookmarkStart w:id="338" w:name="_Toc121583865"/>
      <w:bookmarkStart w:id="339" w:name="_Toc167094587"/>
      <w:bookmarkStart w:id="340" w:name="_Toc24029147"/>
      <w:r>
        <w:rPr>
          <w:rFonts w:hint="eastAsia"/>
        </w:rPr>
        <w:t>欧洲市场</w:t>
      </w:r>
      <w:r>
        <w:t>固定功率电容器</w:t>
      </w:r>
      <w:r>
        <w:rPr>
          <w:rFonts w:hint="eastAsia"/>
        </w:rPr>
        <w:t>主要出口目的地</w:t>
      </w:r>
      <w:bookmarkEnd w:id="337"/>
      <w:bookmarkEnd w:id="338"/>
      <w:bookmarkEnd w:id="339"/>
      <w:bookmarkEnd w:id="34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41" w:name="_Toc167094562"/>
      <w:r>
        <w:rPr>
          <w:rFonts w:hint="eastAsia"/>
        </w:rPr>
        <w:t>欧洲市场</w:t>
      </w:r>
      <w:r>
        <w:t>固定功率电容器</w:t>
      </w:r>
      <w:r>
        <w:rPr>
          <w:rFonts w:hint="eastAsia"/>
        </w:rPr>
        <w:t>主要目的地出口占比（2023）</w:t>
      </w:r>
      <w:bookmarkEnd w:id="341"/>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42" w:name="_Toc43885421"/>
      <w:bookmarkStart w:id="343" w:name="_Toc87984664"/>
      <w:bookmarkStart w:id="344" w:name="_Toc121584164"/>
      <w:bookmarkStart w:id="345" w:name="_Toc167094719"/>
      <w:bookmarkStart w:id="346" w:name="_Toc43885436"/>
      <w:bookmarkStart w:id="347" w:name="_Toc59105052"/>
      <w:r>
        <w:rPr>
          <w:rFonts w:hint="eastAsia"/>
          <w:lang w:eastAsia="zh-CN"/>
        </w:rPr>
        <w:t>行业发展趋势及影响因素</w:t>
      </w:r>
      <w:bookmarkEnd w:id="342"/>
      <w:bookmarkEnd w:id="343"/>
      <w:bookmarkEnd w:id="344"/>
      <w:bookmarkEnd w:id="345"/>
    </w:p>
    <w:p w14:paraId="216A64D6">
      <w:pPr>
        <w:pStyle w:val="3"/>
      </w:pPr>
      <w:bookmarkStart w:id="348" w:name="_Toc43885430"/>
      <w:bookmarkStart w:id="349" w:name="_Toc87984665"/>
      <w:bookmarkStart w:id="350" w:name="_Toc167094720"/>
      <w:bookmarkStart w:id="351" w:name="_Toc121584165"/>
      <w:r>
        <w:t>固定功率电容器</w:t>
      </w:r>
      <w:r>
        <w:rPr>
          <w:rFonts w:hint="eastAsia"/>
        </w:rPr>
        <w:t>行业发展分析-</w:t>
      </w:r>
      <w:r>
        <w:t>--</w:t>
      </w:r>
      <w:r>
        <w:rPr>
          <w:rFonts w:hint="eastAsia"/>
        </w:rPr>
        <w:t>发展趋势</w:t>
      </w:r>
      <w:bookmarkEnd w:id="348"/>
      <w:bookmarkEnd w:id="349"/>
      <w:bookmarkEnd w:id="350"/>
      <w:bookmarkEnd w:id="351"/>
    </w:p>
    <w:p w14:paraId="09AB279C">
      <w:pPr>
        <w:pStyle w:val="132"/>
        <w:ind w:left="252" w:right="-105"/>
      </w:pPr>
      <w:bookmarkStart w:id="352" w:name="_Toc121583853"/>
      <w:bookmarkStart w:id="353" w:name="_Toc167094588"/>
      <w:r>
        <w:t>固定功率电容器</w:t>
      </w:r>
      <w:r>
        <w:rPr>
          <w:rFonts w:hint="eastAsia"/>
        </w:rPr>
        <w:t>行业发展分析-</w:t>
      </w:r>
      <w:r>
        <w:t>--</w:t>
      </w:r>
      <w:r>
        <w:rPr>
          <w:rFonts w:hint="eastAsia"/>
        </w:rPr>
        <w:t>发展趋势</w:t>
      </w:r>
      <w:bookmarkEnd w:id="352"/>
      <w:bookmarkEnd w:id="35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54" w:name="_Toc167094721"/>
      <w:bookmarkStart w:id="355" w:name="_Toc121584166"/>
      <w:r>
        <w:t>固定功率电容器</w:t>
      </w:r>
      <w:r>
        <w:rPr>
          <w:rFonts w:hint="eastAsia"/>
        </w:rPr>
        <w:t>行业发展分析-</w:t>
      </w:r>
      <w:r>
        <w:t>--</w:t>
      </w:r>
      <w:r>
        <w:rPr>
          <w:rFonts w:hint="eastAsia"/>
        </w:rPr>
        <w:t>厂商壁垒</w:t>
      </w:r>
      <w:bookmarkEnd w:id="354"/>
      <w:bookmarkEnd w:id="355"/>
    </w:p>
    <w:p w14:paraId="1418AD79">
      <w:pPr>
        <w:pStyle w:val="132"/>
        <w:ind w:left="252" w:right="-105"/>
      </w:pPr>
      <w:bookmarkStart w:id="356" w:name="_Toc121583854"/>
      <w:bookmarkStart w:id="357" w:name="_Toc167094589"/>
      <w:r>
        <w:t>固定功率电容器</w:t>
      </w:r>
      <w:r>
        <w:rPr>
          <w:rFonts w:hint="eastAsia"/>
        </w:rPr>
        <w:t>行业发展分析-</w:t>
      </w:r>
      <w:r>
        <w:t>--</w:t>
      </w:r>
      <w:r>
        <w:rPr>
          <w:rFonts w:hint="eastAsia"/>
        </w:rPr>
        <w:t>厂商壁垒</w:t>
      </w:r>
      <w:bookmarkEnd w:id="356"/>
      <w:bookmarkEnd w:id="35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58" w:name="_Toc121584167"/>
      <w:bookmarkStart w:id="359" w:name="_Toc167094722"/>
      <w:bookmarkStart w:id="360" w:name="_Toc87984338"/>
      <w:r>
        <w:t>固定功率电容器</w:t>
      </w:r>
      <w:r>
        <w:rPr>
          <w:rFonts w:hint="eastAsia"/>
        </w:rPr>
        <w:t>行业发展分析-</w:t>
      </w:r>
      <w:r>
        <w:t>--</w:t>
      </w:r>
      <w:r>
        <w:rPr>
          <w:rFonts w:hint="eastAsia"/>
        </w:rPr>
        <w:t>驱动因素</w:t>
      </w:r>
      <w:bookmarkEnd w:id="358"/>
      <w:bookmarkEnd w:id="359"/>
    </w:p>
    <w:bookmarkEnd w:id="360"/>
    <w:p w14:paraId="66FCC542">
      <w:pPr>
        <w:pStyle w:val="132"/>
        <w:ind w:left="252" w:right="-105"/>
      </w:pPr>
      <w:bookmarkStart w:id="361" w:name="_Toc121583855"/>
      <w:bookmarkStart w:id="362" w:name="_Toc167094590"/>
      <w:r>
        <w:t>固定功率电容器</w:t>
      </w:r>
      <w:r>
        <w:rPr>
          <w:rFonts w:hint="eastAsia"/>
        </w:rPr>
        <w:t>行业发展分析-</w:t>
      </w:r>
      <w:r>
        <w:t>--</w:t>
      </w:r>
      <w:r>
        <w:rPr>
          <w:rFonts w:hint="eastAsia"/>
        </w:rPr>
        <w:t>驱动因素</w:t>
      </w:r>
      <w:bookmarkEnd w:id="361"/>
      <w:bookmarkEnd w:id="36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63" w:name="_Toc121584168"/>
      <w:bookmarkStart w:id="364" w:name="_Toc167094723"/>
      <w:r>
        <w:t>固定功率电容器</w:t>
      </w:r>
      <w:r>
        <w:rPr>
          <w:rFonts w:hint="eastAsia"/>
        </w:rPr>
        <w:t>行业发展分析-</w:t>
      </w:r>
      <w:r>
        <w:t>--</w:t>
      </w:r>
      <w:r>
        <w:rPr>
          <w:rFonts w:hint="eastAsia"/>
        </w:rPr>
        <w:t>制约因素</w:t>
      </w:r>
      <w:bookmarkEnd w:id="363"/>
      <w:bookmarkEnd w:id="364"/>
    </w:p>
    <w:p w14:paraId="6D28A5F9">
      <w:pPr>
        <w:pStyle w:val="132"/>
        <w:ind w:left="252" w:right="-105"/>
      </w:pPr>
      <w:bookmarkStart w:id="365" w:name="_Toc121583856"/>
      <w:bookmarkStart w:id="366" w:name="_Toc167094591"/>
      <w:r>
        <w:t>固定功率电容器</w:t>
      </w:r>
      <w:r>
        <w:rPr>
          <w:rFonts w:hint="eastAsia"/>
        </w:rPr>
        <w:t>行业发展分析-</w:t>
      </w:r>
      <w:r>
        <w:t>--</w:t>
      </w:r>
      <w:r>
        <w:rPr>
          <w:rFonts w:hint="eastAsia"/>
        </w:rPr>
        <w:t>制约因素</w:t>
      </w:r>
      <w:bookmarkEnd w:id="365"/>
      <w:bookmarkEnd w:id="36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67" w:name="_Toc87984668"/>
      <w:bookmarkStart w:id="368" w:name="_Toc167094724"/>
      <w:bookmarkStart w:id="369" w:name="_Toc43885422"/>
      <w:bookmarkStart w:id="370" w:name="_Toc121584170"/>
      <w:r>
        <w:t>固定功率电容器</w:t>
      </w:r>
      <w:r>
        <w:rPr>
          <w:rFonts w:hint="eastAsia"/>
        </w:rPr>
        <w:t>行业发展分析-</w:t>
      </w:r>
      <w:r>
        <w:t>--</w:t>
      </w:r>
      <w:r>
        <w:rPr>
          <w:rFonts w:hint="eastAsia"/>
        </w:rPr>
        <w:t>行业政策</w:t>
      </w:r>
      <w:bookmarkEnd w:id="367"/>
      <w:bookmarkEnd w:id="368"/>
      <w:bookmarkEnd w:id="369"/>
      <w:bookmarkEnd w:id="370"/>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99"/>
    <w:bookmarkEnd w:id="300"/>
    <w:bookmarkEnd w:id="346"/>
    <w:bookmarkEnd w:id="347"/>
    <w:p w14:paraId="05DA7643">
      <w:pPr>
        <w:pStyle w:val="2"/>
        <w:rPr>
          <w:lang w:eastAsia="zh-CN"/>
        </w:rPr>
      </w:pPr>
      <w:bookmarkStart w:id="371" w:name="_Toc24028588"/>
      <w:bookmarkStart w:id="372" w:name="_Toc24972778"/>
      <w:bookmarkStart w:id="373" w:name="_Toc121584189"/>
      <w:bookmarkStart w:id="374" w:name="_Toc167094725"/>
      <w:r>
        <w:rPr>
          <w:rFonts w:hint="eastAsia"/>
          <w:lang w:eastAsia="zh-CN"/>
        </w:rPr>
        <w:t>研究成果及结论</w:t>
      </w:r>
      <w:bookmarkEnd w:id="371"/>
      <w:bookmarkEnd w:id="372"/>
      <w:bookmarkEnd w:id="373"/>
      <w:bookmarkEnd w:id="374"/>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7863AED8">
      <w:pPr>
        <w:pStyle w:val="128"/>
        <w:ind w:firstLine="420"/>
        <w:rPr>
          <w:lang w:eastAsia="zh-CN"/>
        </w:rPr>
      </w:pPr>
    </w:p>
    <w:p w14:paraId="26945921">
      <w:pPr>
        <w:pStyle w:val="128"/>
        <w:ind w:firstLine="420"/>
        <w:rPr>
          <w:lang w:eastAsia="zh-CN"/>
        </w:rPr>
      </w:pPr>
    </w:p>
    <w:p w14:paraId="499B71B7">
      <w:pPr>
        <w:pStyle w:val="128"/>
        <w:ind w:firstLine="420"/>
        <w:rPr>
          <w:lang w:eastAsia="zh-CN"/>
        </w:rPr>
      </w:pPr>
    </w:p>
    <w:p w14:paraId="521E055D">
      <w:pPr>
        <w:pStyle w:val="128"/>
        <w:ind w:firstLine="420"/>
        <w:rPr>
          <w:lang w:eastAsia="zh-CN"/>
        </w:rPr>
      </w:pPr>
    </w:p>
    <w:p w14:paraId="6F3FC960">
      <w:pPr>
        <w:pStyle w:val="128"/>
        <w:ind w:firstLine="420"/>
        <w:rPr>
          <w:rFonts w:hint="eastAsia"/>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A01F4">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75" w:name="_Hlk39682313"/>
    <w:bookmarkStart w:id="376"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2024年欧洲固定功率电容器市场主要企业市场占有率及排名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2024年欧洲固定功率电容器市场主要企业市场占有率及排名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75"/>
    <w:bookmarkEnd w:id="376"/>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6E830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uiPriority w:val="0"/>
    <w:pPr>
      <w:tabs>
        <w:tab w:val="right" w:pos="9736"/>
      </w:tabs>
    </w:pPr>
  </w:style>
  <w:style w:type="character" w:customStyle="1" w:styleId="135">
    <w:name w:val="目录2 字符"/>
    <w:basedOn w:val="88"/>
    <w:link w:val="134"/>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48</Pages>
  <Words>11951</Words>
  <Characters>18046</Characters>
  <Lines>256</Lines>
  <Paragraphs>72</Paragraphs>
  <TotalTime>0</TotalTime>
  <ScaleCrop>false</ScaleCrop>
  <LinksUpToDate>false</LinksUpToDate>
  <CharactersWithSpaces>18662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2024-06-20T07:20:55Z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386FAF74DB7647FB887CE59450A8C351_13</vt:lpwstr>
  </property>
</Properties>
</file>