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453597319"/>
      <w:bookmarkStart w:id="1" w:name="OLE_LINK13"/>
      <w:bookmarkStart w:id="2" w:name="_Toc415818939"/>
      <w:bookmarkStart w:id="3" w:name="_Toc415143481"/>
      <w:bookmarkStart w:id="4" w:name="_Toc481801204"/>
      <w:bookmarkStart w:id="5" w:name="OLE_LINK15"/>
      <w:bookmarkStart w:id="6" w:name="_Toc415142861"/>
      <w:bookmarkStart w:id="7" w:name="_Toc517262917"/>
      <w:bookmarkStart w:id="8" w:name="_Toc418070112"/>
      <w:bookmarkStart w:id="9" w:name="_Toc438987549"/>
      <w:bookmarkStart w:id="10" w:name="OLE_LINK40"/>
      <w:bookmarkStart w:id="11" w:name="OLE_LINK39"/>
      <w:bookmarkStart w:id="12" w:name="OLE_LINK24"/>
      <w:r>
        <w:rPr>
          <w:lang w:eastAsia="zh-CN"/>
        </w:rPr>
        <w:t>精细化学品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2630170" cy="2155190"/>
            <wp:effectExtent l="0" t="0" r="0" b="0"/>
            <wp:docPr id="41" name="图片 41" descr="http://hlt.neozhan.com/storage/images/353/wyBfzUChQsvalHqneAbzhwZNoIEnFTykZxKNEKI0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http://hlt.neozhan.com/storage/images/353/wyBfzUChQsvalHqneAbzhwZNoIEnFTykZxKNEKI0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47"/>
                    <a:stretch>
                      <a:fillRect/>
                    </a:stretch>
                  </pic:blipFill>
                  <pic:spPr>
                    <a:xfrm>
                      <a:off x="0" y="0"/>
                      <a:ext cx="2632172" cy="2156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据QYResearch调研团队最新报告“全球精细化学品市场报告2023-2029”显示，预计2029年全球精细化学品市场规模将达到3171.2亿美元，未来几年年复合增长率CAGR为6.8%。</w:t>
      </w:r>
    </w:p>
    <w:p>
      <w:pPr>
        <w:pStyle w:val="148"/>
        <w:rPr>
          <w:lang w:eastAsia="zh-CN"/>
        </w:rPr>
      </w:pPr>
      <w:r>
        <w:rPr>
          <w:lang w:eastAsia="zh-CN"/>
        </w:rPr>
        <w:t>精细化学品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188710" cy="2886710"/>
            <wp:effectExtent l="0" t="0" r="2540" b="889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精细化学品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精细化学品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15</w:t>
      </w:r>
      <w:r>
        <w:rPr>
          <w:rFonts w:hint="eastAsia"/>
          <w:lang w:eastAsia="zh-CN"/>
        </w:rPr>
        <w:t>强生产商排名及市场占有率（基于202</w:t>
      </w:r>
      <w:r>
        <w:rPr>
          <w:lang w:eastAsia="zh-CN"/>
        </w:rPr>
        <w:t>1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如上图表/数据，摘自QYResearch报告“全球精细化学品市场研究报告2023-2029，排名基于2022数据。目前最新数据，以本公司最新调研数据为准。</w:t>
      </w:r>
    </w:p>
    <w:p>
      <w:pPr>
        <w:pStyle w:val="143"/>
      </w:pPr>
      <w:r>
        <w:t>.</w:t>
      </w:r>
    </w:p>
    <w:p>
      <w:pPr>
        <w:pStyle w:val="145"/>
      </w:pPr>
      <w:r>
        <w:rPr>
          <w:rFonts w:hint="eastAsia"/>
          <w:lang w:eastAsia="zh-CN"/>
        </w:rPr>
        <w:t>全球范围内精细化学品生产商主要包括BASF、Catalent、DSM、Lonza、Boehringer-Ingelheim、Patheon 、Fujifilm Diosynth、Zhejiang NHU Co., Ltd.、Saltigo、Sumitomo Seika Chemicals等。2021年，全球前十强厂商占有大约8.0%的市场份额。</w:t>
      </w:r>
    </w:p>
    <w:p>
      <w:pPr>
        <w:pStyle w:val="145"/>
      </w:pPr>
    </w:p>
    <w:p>
      <w:pPr>
        <w:pStyle w:val="145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r>
        <w:rPr>
          <w:rFonts w:hint="eastAsia"/>
          <w:lang w:eastAsia="zh-CN"/>
        </w:rPr>
        <w:t>2024年全球精细化学品行业总体规模、主要企业国内外市场占有率及排名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根据研究团队调研统计，2023年全球精细化学品市场销售额达到了12611亿元，预计2030年将达到20362亿元，年复合增长率（CAGR）为7.0%（2024-2030）。中国市场在过去几年变化较快，2023年市场规模为 亿元，约占全球的 %，预计2030年将达到 亿元，届时全球占比将达到 %。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2019年十大精细化学品生产商是BASF、Catalent、Lonza、DSM、NHU、Saltigo、Sumitomo Seika Chemicals、Zhejiang Medicine、Novasep和Flamma Group。其中BASF的营收占比最大，为1.36%。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欧洲和北美是精细化学品的主要市场。2019年，欧洲市场的收入约占全球总收入的30.71%。北美排名第二，约占23.47%。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文侧重研究全球精细化学品总体规模及主要厂商占有率和排名，主要统计指标包括精细化学品业务收入、市场份额及排名等，企业数据主要侧重近三年行业内主要厂商的市场销售情况。地区层面，主要分析过去五年和未来五年行业内主要地区的规模及趋势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QYResearch（恒州博智）是全球知名的大型咨询机构，长期专注于各行业细分市场的调研。行业层面，重点关注可能存在“卡脖子”的高科技细分领域。企业层面，重点关注在国际和国内市场在规模和技术等层面具有代表性的企业，挖掘出各个行业的国家级“专精特新”企业，以全球视角，深度洞察行业竞争态势、发展现状及未来趋势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本文主要企业名单如下，也可根据客户要求增加目标企业：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BASF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Saltigo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Jayhawk Fine Chemicals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Boehringer-Ingelheim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Fujifilm Diosynth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DSM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Albemarle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Lonza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Catalent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Flamma Group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Sumitomo Seika Chemicals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Novasep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Patheon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浙江医药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新和成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按照不同产品类型，包括如下几个类别：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医药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维生素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杀虫剂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其他类型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按照不同应用，包括如下几个方面：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制药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食品与饮料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农业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工业添加剂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其他应用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重点关注如下几个地区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北美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欧洲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中国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日本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东南亚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印度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本文正文共9章，各章节主要内容如下：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第1章：报告统计范围、所属行业、全球及中国总体规模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第2章：国内外主要企业市场占有率及排名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第3章：全球精细化学品主要地区市场规模及份额等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第4章：按产品类型细分，全球精细化学品市场规模及份额等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第5章：按应用细分，全球精细化学品市场规模及份额等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第6章：全球主要企业基本情况介绍，包括公司简介、精细化学品产品、收入及最新动态等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第7章：行业发展趋势、驱动因素、行业政策等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第8章：产业链、上下游分析、生产模式、销售模式及销售渠道分析等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第9章：报告结论</w:t>
      </w:r>
    </w:p>
    <w:p>
      <w:pPr>
        <w:pStyle w:val="145"/>
        <w:rPr>
          <w:lang w:eastAsia="zh-CN"/>
        </w:rPr>
      </w:pPr>
      <w:bookmarkStart w:id="13" w:name="_GoBack"/>
      <w:bookmarkEnd w:id="13"/>
    </w:p>
    <w:sectPr>
      <w:headerReference r:id="rId6" w:type="first"/>
      <w:headerReference r:id="rId4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Yu Gothic UI Semibold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OTY1YzZkMmU4NWY4NWNmYzc1OWZjYTMyZjg1NjQ0NDY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886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CFB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A1E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33E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573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7917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uiPriority="63" w:semiHidden="0" w:name="Medium Shading 1 Accent 2"/>
    <w:lsdException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iPriority="61" w:semiHidden="0" w:name="Light List Accent 3"/>
    <w:lsdException w:unhideWhenUsed="0" w:uiPriority="62" w:semiHidden="0" w:name="Light Grid Accent 3"/>
    <w:lsdException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uiPriority="63" w:semiHidden="0" w:name="Medium Shading 1 Accent 5"/>
    <w:lsdException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unhideWhenUsed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出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uiPriority w:val="0"/>
    <w:pPr>
      <w:tabs>
        <w:tab w:val="right" w:pos="9736"/>
      </w:tabs>
    </w:pPr>
  </w:style>
  <w:style w:type="character" w:customStyle="1" w:styleId="157">
    <w:name w:val="目录 2 字符"/>
    <w:basedOn w:val="67"/>
    <w:link w:val="29"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1.xml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2.xml"/><Relationship Id="rId3" Type="http://schemas.microsoft.com/office/2011/relationships/chartStyle" Target="style2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C:\Users\admin\Desktop\Fine%20Chemical%20Supply%20Volumes%20&#31934;&#32454;&#21270;&#23398;&#21697;\&#35266;&#28857;&#25968;&#25454;&#22270;&#34920;&#27169;&#26495;-&#20840;&#29699;20231017%20&#23454;&#20064;&#21516;&#23398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admin\Desktop\Fine%20Chemical%20Supply%20Volumes%20&#31934;&#32454;&#21270;&#23398;&#21697;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884259259259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151169</c:v>
                </c:pt>
                <c:pt idx="1">
                  <c:v>199215</c:v>
                </c:pt>
                <c:pt idx="2">
                  <c:v>317121.524553238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9"/>
            <c:invertIfNegative val="0"/>
            <c:bubble3D val="0"/>
            <c:spPr>
              <a:solidFill>
                <a:schemeClr val="accent4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0"/>
            <c:invertIfNegative val="0"/>
            <c:bubble3D val="0"/>
            <c:spPr>
              <a:solidFill>
                <a:schemeClr val="accent5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1"/>
            <c:invertIfNegative val="0"/>
            <c:bubble3D val="0"/>
            <c:spPr>
              <a:solidFill>
                <a:schemeClr val="accent6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12"/>
            <c:invertIfNegative val="0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3"/>
            <c:invertIfNegative val="0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Pt>
            <c:idx val="14"/>
            <c:invertIfNegative val="0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企业排序!$F$2:$F$25</c:f>
              <c:strCache>
                <c:ptCount val="15"/>
                <c:pt idx="0">
                  <c:v>Jayhawk Fine Chemicals</c:v>
                </c:pt>
                <c:pt idx="1">
                  <c:v>Albemarle</c:v>
                </c:pt>
                <c:pt idx="2">
                  <c:v>Flamma Group</c:v>
                </c:pt>
                <c:pt idx="3">
                  <c:v>Novasep</c:v>
                </c:pt>
                <c:pt idx="4">
                  <c:v>浙江医药</c:v>
                </c:pt>
                <c:pt idx="5">
                  <c:v>Sumitomo Seika Chemicals</c:v>
                </c:pt>
                <c:pt idx="6">
                  <c:v>Saltigo</c:v>
                </c:pt>
                <c:pt idx="7">
                  <c:v>新和成</c:v>
                </c:pt>
                <c:pt idx="8">
                  <c:v>Fujifilm Diosynth</c:v>
                </c:pt>
                <c:pt idx="9">
                  <c:v>Patheon </c:v>
                </c:pt>
                <c:pt idx="10">
                  <c:v>Boehringer-Ingelheim</c:v>
                </c:pt>
                <c:pt idx="11">
                  <c:v>Lonza</c:v>
                </c:pt>
                <c:pt idx="12">
                  <c:v>DSM</c:v>
                </c:pt>
                <c:pt idx="13">
                  <c:v>Catalent</c:v>
                </c:pt>
                <c:pt idx="14">
                  <c:v>BASF</c:v>
                </c:pt>
              </c:strCache>
            </c:strRef>
          </c:cat>
          <c:val>
            <c:numRef>
              <c:f>企业排序!$G$2:$G$25</c:f>
              <c:numCache>
                <c:formatCode>#,##0.00_ </c:formatCode>
                <c:ptCount val="15"/>
                <c:pt idx="0">
                  <c:v>102</c:v>
                </c:pt>
                <c:pt idx="1">
                  <c:v>122</c:v>
                </c:pt>
                <c:pt idx="2">
                  <c:v>203</c:v>
                </c:pt>
                <c:pt idx="3">
                  <c:v>470</c:v>
                </c:pt>
                <c:pt idx="4">
                  <c:v>514</c:v>
                </c:pt>
                <c:pt idx="5">
                  <c:v>697</c:v>
                </c:pt>
                <c:pt idx="6">
                  <c:v>960</c:v>
                </c:pt>
                <c:pt idx="7">
                  <c:v>996</c:v>
                </c:pt>
                <c:pt idx="8">
                  <c:v>1182</c:v>
                </c:pt>
                <c:pt idx="9">
                  <c:v>1379</c:v>
                </c:pt>
                <c:pt idx="10">
                  <c:v>1551</c:v>
                </c:pt>
                <c:pt idx="11">
                  <c:v>2076</c:v>
                </c:pt>
                <c:pt idx="12">
                  <c:v>2086</c:v>
                </c:pt>
                <c:pt idx="13">
                  <c:v>2111</c:v>
                </c:pt>
                <c:pt idx="14">
                  <c:v>2405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0.55078</cdr:x>
      <cdr:y>0.23401</cdr:y>
    </cdr:from>
    <cdr:to>
      <cdr:x>0.74446</cdr:x>
      <cdr:y>0.38049</cdr:y>
    </cdr:to>
    <cdr:cxnSp>
      <cdr:nvCxnSpPr>
        <cdr:cNvPr id="2" name="直接箭头连接符 1"/>
        <cdr:cNvCxnSpPr/>
      </cdr:nvCxnSpPr>
      <cdr:spPr xmlns:a="http://schemas.openxmlformats.org/drawingml/2006/main">
        <a:xfrm xmlns:a="http://schemas.openxmlformats.org/drawingml/2006/main" flipV="1">
          <a:off x="3612259" y="716071"/>
          <a:ext cx="1270239" cy="448228"/>
        </a:xfrm>
        <a:prstGeom xmlns:a="http://schemas.openxmlformats.org/drawingml/2006/main" prst="straightConnector1">
          <a:avLst/>
        </a:prstGeom>
        <a:solidFill>
          <a:srgbClr val="FFC000"/>
        </a:solidFill>
        <a:ln w="15875">
          <a:solidFill>
            <a:srgbClr val="002060"/>
          </a:solidFill>
          <a:tailEnd type="triangle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0.57349</cdr:x>
      <cdr:y>0.26379</cdr:y>
    </cdr:from>
    <cdr:to>
      <cdr:x>0.709</cdr:x>
      <cdr:y>0.35696</cdr:y>
    </cdr:to>
    <cdr:sp>
      <cdr:nvSpPr>
        <cdr:cNvPr id="3" name="椭圆 2"/>
        <cdr:cNvSpPr/>
      </cdr:nvSpPr>
      <cdr:spPr xmlns:a="http://schemas.openxmlformats.org/drawingml/2006/main">
        <a:xfrm xmlns:a="http://schemas.openxmlformats.org/drawingml/2006/main" rot="20477554">
          <a:off x="3761181" y="807183"/>
          <a:ext cx="888776" cy="285126"/>
        </a:xfrm>
        <a:prstGeom xmlns:a="http://schemas.openxmlformats.org/drawingml/2006/main" prst="ellipse">
          <a:avLst/>
        </a:prstGeom>
        <a:solidFill>
          <a:srgbClr val="FFC000"/>
        </a:solidFill>
        <a:ln w="12700">
          <a:noFill/>
        </a:ln>
      </cdr:spPr>
      <cdr:style>
        <a:lnRef xmlns:a="http://schemas.openxmlformats.org/drawingml/2006/main" idx="2">
          <a:schemeClr val="accent1">
            <a:shade val="15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 xmlns:a="http://schemas.openxmlformats.org/drawingml/2006/main">
        <a:bodyPr vertOverflow="clip" vert="horz" wrap="none" lIns="45720" tIns="45720" rIns="45720" bIns="45720" anchor="ctr" anchorCtr="0">
          <a:normAutofit/>
        </a:bodyPr>
        <a:lstStyle/>
        <a:p>
          <a:pPr algn="ctr"/>
          <a:r>
            <a:rPr lang="en-US" altLang="zh-CN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rPr>
            <a:t>6.8%</a:t>
          </a:r>
          <a:endParaRPr lang="zh-CN" baseline="0">
            <a:solidFill>
              <a:sysClr val="windowText" lastClr="000000"/>
            </a:solidFill>
            <a:latin typeface="Book Antiqua" panose="02040602050305030304" pitchFamily="1" charset="0"/>
            <a:ea typeface="宋体" panose="02010600030101010101" charset="-122"/>
          </a:endParaRPr>
        </a:p>
      </cdr:txBody>
    </cdr:sp>
  </cdr:relSizeAnchor>
  <cdr:relSizeAnchor xmlns:cdr="http://schemas.openxmlformats.org/drawingml/2006/chartDrawing">
    <cdr:from>
      <cdr:x>0.20146</cdr:x>
      <cdr:y>0.37795</cdr:y>
    </cdr:from>
    <cdr:to>
      <cdr:x>0.42973</cdr:x>
      <cdr:y>0.6412</cdr:y>
    </cdr:to>
    <cdr:grpSp>
      <cdr:nvGrpSpPr>
        <cdr:cNvPr id="4" name="组合 3"/>
        <cdr:cNvGrpSpPr/>
      </cdr:nvGrpSpPr>
      <cdr:grpSpPr xmlns:a="http://schemas.openxmlformats.org/drawingml/2006/main">
        <a:xfrm rot="2458152">
          <a:off x="1246778" y="1091032"/>
          <a:ext cx="1412697" cy="759926"/>
          <a:chOff x="3014141" y="1779723"/>
          <a:chExt cx="1170560" cy="814928"/>
        </a:xfrm>
      </cdr:grpSpPr>
      <cdr:cxnSp>
        <cdr:nvCxnSpPr>
          <cdr:cNvPr id="5" name="直接箭头连接符 4"/>
          <cdr:cNvCxnSpPr/>
        </cdr:nvCxnSpPr>
        <cdr:spPr xmlns:a="http://schemas.openxmlformats.org/drawingml/2006/main">
          <a:xfrm xmlns:a="http://schemas.openxmlformats.org/drawingml/2006/main" rot="19816677" flipV="1">
            <a:off x="3014141" y="1818573"/>
            <a:ext cx="1170560" cy="691521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6" name="椭圆 5"/>
          <cdr:cNvSpPr/>
        </cdr:nvSpPr>
        <cdr:spPr xmlns:a="http://schemas.openxmlformats.org/drawingml/2006/main">
          <a:xfrm xmlns:a="http://schemas.openxmlformats.org/drawingml/2006/main" rot="18358947">
            <a:off x="3177981" y="2099589"/>
            <a:ext cx="814928" cy="175195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>
                <a:solidFill>
                  <a:sysClr val="windowText" lastClr="000000"/>
                </a:solidFill>
                <a:latin typeface="Book Antiqua" panose="02040602050305030304" pitchFamily="1" charset="0"/>
              </a:rPr>
              <a:t>7.1%</a:t>
            </a:r>
            <a:endParaRPr lang="zh-CN">
              <a:solidFill>
                <a:sysClr val="windowText" lastClr="000000"/>
              </a:solidFill>
              <a:latin typeface="Book Antiqua" panose="02040602050305030304" pitchFamily="1" charset="0"/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6"/>
    <customShpInfo spid="_x0000_s205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223EC5-A9C0-46E3-A972-EA50F41AF3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156</Words>
  <Characters>892</Characters>
  <Lines>7</Lines>
  <Paragraphs>2</Paragraphs>
  <TotalTime>640</TotalTime>
  <ScaleCrop>false</ScaleCrop>
  <LinksUpToDate>false</LinksUpToDate>
  <CharactersWithSpaces>1046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2024-02-05T04:49:03Z</dcterms:modified>
  <cp:revision>801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310210FE60D2475DB57F01F584B93D34_13</vt:lpwstr>
  </property>
</Properties>
</file>