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6" w:type="first"/>
          <w:headerReference r:id="rId4" w:type="default"/>
          <w:headerReference r:id="rId5"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3481"/>
      <w:bookmarkStart w:id="1" w:name="OLE_LINK15"/>
      <w:bookmarkStart w:id="2" w:name="_Toc481801204"/>
      <w:bookmarkStart w:id="3" w:name="_Toc438987549"/>
      <w:bookmarkStart w:id="4" w:name="_Hlk23501351"/>
      <w:bookmarkStart w:id="5" w:name="_Toc453597319"/>
      <w:bookmarkStart w:id="6" w:name="OLE_LINK13"/>
      <w:bookmarkStart w:id="7" w:name="OLE_LINK39"/>
      <w:bookmarkStart w:id="8" w:name="OLE_LINK40"/>
      <w:bookmarkStart w:id="9" w:name="_Toc415818939"/>
      <w:bookmarkStart w:id="10" w:name="_Toc418070112"/>
      <w:bookmarkStart w:id="11" w:name="OLE_LINK24"/>
      <w:bookmarkStart w:id="12" w:name="_Toc517262917"/>
      <w:bookmarkStart w:id="13" w:name="_Toc415142861"/>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1416050</wp:posOffset>
                </wp:positionV>
                <wp:extent cx="5761990" cy="2971165"/>
                <wp:effectExtent l="0" t="0" r="10160" b="635"/>
                <wp:wrapNone/>
                <wp:docPr id="56" name="文本框 56"/>
                <wp:cNvGraphicFramePr/>
                <a:graphic xmlns:a="http://schemas.openxmlformats.org/drawingml/2006/main">
                  <a:graphicData uri="http://schemas.microsoft.com/office/word/2010/wordprocessingShape">
                    <wps:wsp>
                      <wps:cNvSpPr txBox="1"/>
                      <wps:spPr>
                        <a:xfrm>
                          <a:off x="1651635" y="2068195"/>
                          <a:ext cx="5761990" cy="29711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widowControl/>
                              <w:topLinePunct w:val="0"/>
                              <w:jc w:val="both"/>
                              <w:rPr>
                                <w:rFonts w:hint="eastAsia" w:ascii="宋体" w:hAnsi="宋体" w:cs="宋体"/>
                                <w:sz w:val="72"/>
                                <w:szCs w:val="72"/>
                                <w:lang w:val="en-US" w:eastAsia="zh-CN"/>
                              </w:rPr>
                            </w:pPr>
                            <w:r>
                              <w:rPr>
                                <w:rFonts w:hint="eastAsia" w:ascii="宋体" w:hAnsi="宋体" w:cs="宋体"/>
                                <w:sz w:val="72"/>
                                <w:szCs w:val="72"/>
                                <w:lang w:val="en-US" w:eastAsia="zh-CN"/>
                              </w:rPr>
                              <w:t>全球及中国费托合成催化剂</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1.5pt;height:233.95pt;width:453.7pt;z-index:251661312;mso-width-relative:page;mso-height-relative:page;" fillcolor="#FFFFFF [3201]" filled="t" stroked="f" coordsize="21600,21600" o:gfxdata="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ZgRJb&#10;1gAAAAoBAAAPAAAAAAAAAAEAIAAAACIAAABkcnMvZG93bnJldi54bWxQSwECFAAUAAAACACHTuJA&#10;RL9SHFwCAACeBAAADgAAAAAAAAABACAAAAAlAQAAZHJzL2Uyb0RvYy54bWxQSwUGAAAAAAYABgBZ&#10;AQAA8wUAAAAA&#10;">
                <v:fill on="t" focussize="0,0"/>
                <v:stroke on="f" weight="0.5pt"/>
                <v:imagedata o:title=""/>
                <o:lock v:ext="edit" aspectratio="f"/>
                <v:textbox>
                  <w:txbxContent>
                    <w:p>
                      <w:pPr>
                        <w:widowControl/>
                        <w:topLinePunct w:val="0"/>
                        <w:jc w:val="both"/>
                        <w:rPr>
                          <w:rFonts w:hint="eastAsia" w:ascii="宋体" w:hAnsi="宋体" w:cs="宋体"/>
                          <w:sz w:val="72"/>
                          <w:szCs w:val="72"/>
                          <w:lang w:val="en-US" w:eastAsia="zh-CN"/>
                        </w:rPr>
                      </w:pPr>
                      <w:r>
                        <w:rPr>
                          <w:rFonts w:hint="eastAsia" w:ascii="宋体" w:hAnsi="宋体" w:cs="宋体"/>
                          <w:sz w:val="72"/>
                          <w:szCs w:val="72"/>
                          <w:lang w:val="en-US" w:eastAsia="zh-CN"/>
                        </w:rPr>
                        <w:t>全球及中国费托合成催化剂</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rFonts w:hint="eastAsia"/>
          <w:lang w:eastAsia="zh-CN"/>
        </w:rPr>
        <w:t>煤间接液化工艺相对成熟稳定，反应条件温和，产品结构和性能优越，是煤制油的主要技术途径之一。 在此途径中，费托合成技术在将合成气转化为液体燃料和其他化学品方面发挥着至关重要的作用。</w:t>
      </w:r>
    </w:p>
    <w:p>
      <w:pPr>
        <w:pStyle w:val="145"/>
        <w:rPr>
          <w:lang w:eastAsia="zh-CN"/>
        </w:rPr>
      </w:pPr>
      <w:r>
        <w:rPr>
          <w:rFonts w:hint="eastAsia"/>
          <w:lang w:eastAsia="zh-CN"/>
        </w:rPr>
        <w:t>费托合成反应需要添加合适的催化剂，催化剂的选择显着影响费托合成反应条件的配置、反应器兼容性、合成气转化效率、产物选择性和质量。它对煤制油项目的整体运行效率和经济效益有着至关重要的影响。 因此，费托合成催化剂的技术研究和工业应用一直是煤制油行业的重点研究领域。</w:t>
      </w:r>
    </w:p>
    <w:p>
      <w:pPr>
        <w:pStyle w:val="145"/>
        <w:rPr>
          <w:lang w:eastAsia="zh-CN"/>
        </w:rPr>
      </w:pPr>
      <w:r>
        <w:rPr>
          <w:rFonts w:hint="eastAsia"/>
          <w:lang w:eastAsia="zh-CN"/>
        </w:rPr>
        <w:t>据调研团队最新报告“全球费托合成催化剂市场报告2023-2029”显示，预计2029年全球费托合成催化剂市场规模将达到11.6亿美元，未来几年年复合增长率CAGR为4.6%。</w:t>
      </w:r>
    </w:p>
    <w:p>
      <w:pPr>
        <w:pStyle w:val="148"/>
        <w:rPr>
          <w:lang w:eastAsia="zh-CN"/>
        </w:rPr>
      </w:pPr>
      <w:r>
        <w:rPr>
          <w:lang w:eastAsia="zh-CN"/>
        </w:rPr>
        <w:t>费托合成催化剂</w:t>
      </w:r>
      <w:r>
        <w:rPr>
          <w:rFonts w:hint="eastAsia"/>
          <w:lang w:eastAsia="zh-CN"/>
        </w:rPr>
        <w:t>，全球市场总体规模</w:t>
      </w:r>
    </w:p>
    <w:p>
      <w:pPr>
        <w:pStyle w:val="143"/>
        <w:rPr>
          <w:lang w:eastAsia="zh-CN"/>
        </w:rPr>
      </w:pPr>
      <w:r>
        <w:rPr>
          <w:lang w:eastAsia="zh-CN"/>
        </w:rPr>
        <w:drawing>
          <wp:inline distT="0" distB="0" distL="0" distR="0">
            <wp:extent cx="6443980" cy="3060700"/>
            <wp:effectExtent l="0" t="0" r="1397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4398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费托合成催化剂</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费托合成催化剂</w:t>
      </w:r>
      <w:r>
        <w:rPr>
          <w:rFonts w:hint="eastAsia"/>
          <w:lang w:eastAsia="zh-CN"/>
        </w:rPr>
        <w:t>市场前</w:t>
      </w:r>
      <w:r>
        <w:rPr>
          <w:lang w:eastAsia="zh-CN"/>
        </w:rPr>
        <w:t>4</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pStyle w:val="143"/>
        <w:rPr>
          <w:lang w:eastAsia="zh-CN"/>
        </w:rPr>
      </w:pPr>
      <w:r>
        <w:rPr>
          <w:lang w:eastAsia="zh-CN"/>
        </w:rPr>
        <w:drawing>
          <wp:inline distT="0" distB="0" distL="0" distR="0">
            <wp:extent cx="4572635" cy="4401820"/>
            <wp:effectExtent l="0" t="0" r="18415" b="177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费托合成催化剂</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rFonts w:hint="eastAsia"/>
          <w:lang w:eastAsia="zh-CN"/>
        </w:rPr>
      </w:pPr>
      <w:r>
        <w:rPr>
          <w:rFonts w:hint="eastAsia"/>
          <w:lang w:eastAsia="zh-CN"/>
        </w:rPr>
        <w:t>全球范围内费托合成催化剂生产商主要包括Sasol、Shell、中科合成油等。2022年，全球前三大厂商占有大约91.0%的市场份额。</w:t>
      </w:r>
    </w:p>
    <w:p>
      <w:pPr>
        <w:pStyle w:val="148"/>
        <w:rPr>
          <w:lang w:eastAsia="zh-CN"/>
        </w:rPr>
      </w:pPr>
      <w:r>
        <w:rPr>
          <w:lang w:eastAsia="zh-CN"/>
        </w:rPr>
        <w:t>费托合成催化剂</w:t>
      </w:r>
      <w:r>
        <w:rPr>
          <w:rFonts w:hint="eastAsia"/>
          <w:lang w:eastAsia="zh-CN"/>
        </w:rPr>
        <w:t>，全球市场规模，按产品类型细分，铁基催化剂处于主导地位</w:t>
      </w:r>
    </w:p>
    <w:p>
      <w:pPr>
        <w:pStyle w:val="145"/>
        <w:rPr>
          <w:lang w:eastAsia="zh-CN"/>
        </w:rPr>
      </w:pPr>
      <w:r>
        <w:rPr>
          <w:lang w:eastAsia="zh-CN"/>
        </w:rPr>
        <w:drawing>
          <wp:inline distT="0" distB="0" distL="0" distR="0">
            <wp:extent cx="6638925" cy="3060700"/>
            <wp:effectExtent l="0" t="0" r="952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pPr>
        <w:pStyle w:val="145"/>
        <w:rPr>
          <w:lang w:eastAsia="zh-CN"/>
        </w:rPr>
      </w:pPr>
      <w:r>
        <w:rPr>
          <w:lang w:eastAsia="zh-CN"/>
        </w:rPr>
        <w:drawing>
          <wp:inline distT="0" distB="0" distL="0" distR="0">
            <wp:extent cx="6480810" cy="3060700"/>
            <wp:effectExtent l="0" t="0" r="1524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费托合成催化剂</w:t>
      </w:r>
      <w:r>
        <w:rPr>
          <w:rFonts w:hint="eastAsia"/>
          <w:lang w:eastAsia="zh-CN"/>
        </w:rPr>
        <w:t>市场研究报告2023-2029</w:t>
      </w:r>
      <w:r>
        <w:rPr>
          <w:lang w:eastAsia="zh-CN"/>
        </w:rPr>
        <w:t>.</w:t>
      </w:r>
    </w:p>
    <w:p>
      <w:pPr>
        <w:pStyle w:val="145"/>
        <w:rPr>
          <w:rFonts w:hint="eastAsia"/>
          <w:lang w:eastAsia="zh-CN"/>
        </w:rPr>
      </w:pPr>
      <w:r>
        <w:rPr>
          <w:rFonts w:hint="eastAsia"/>
          <w:lang w:eastAsia="zh-CN"/>
        </w:rPr>
        <w:t>就产品类型而言，目前铁基催化剂是最主要的细分产品，占据大约54.4%的份额。</w:t>
      </w:r>
    </w:p>
    <w:p>
      <w:pPr>
        <w:pStyle w:val="148"/>
        <w:rPr>
          <w:lang w:eastAsia="zh-CN"/>
        </w:rPr>
      </w:pPr>
      <w:r>
        <w:rPr>
          <w:lang w:eastAsia="zh-CN"/>
        </w:rPr>
        <w:t>费托合成催化剂</w:t>
      </w:r>
      <w:r>
        <w:rPr>
          <w:rFonts w:hint="eastAsia"/>
          <w:lang w:eastAsia="zh-CN"/>
        </w:rPr>
        <w:t>，全球市场规模，按应用细分，高温（330～350℃）是最主要的需求来源，占据大约45.6%的份额。</w:t>
      </w:r>
    </w:p>
    <w:p>
      <w:pPr>
        <w:pStyle w:val="143"/>
        <w:rPr>
          <w:lang w:eastAsia="zh-CN"/>
        </w:rPr>
      </w:pPr>
      <w:r>
        <w:rPr>
          <w:lang w:eastAsia="zh-CN"/>
        </w:rPr>
        <w:drawing>
          <wp:inline distT="0" distB="0" distL="0" distR="0">
            <wp:extent cx="6638925" cy="3060700"/>
            <wp:effectExtent l="0" t="0" r="9525"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pPr>
        <w:pStyle w:val="143"/>
        <w:rPr>
          <w:lang w:eastAsia="zh-CN"/>
        </w:rPr>
      </w:pPr>
      <w:r>
        <w:rPr>
          <w:lang w:eastAsia="zh-CN"/>
        </w:rPr>
        <w:drawing>
          <wp:inline distT="0" distB="0" distL="0" distR="0">
            <wp:extent cx="6480810" cy="3060700"/>
            <wp:effectExtent l="0" t="0" r="1524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费托合成催化剂</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就产品应用而言，目前高温（330～350℃）是最主要的需求来源，占据大约45.6%的份额。</w:t>
      </w:r>
    </w:p>
    <w:p>
      <w:pPr>
        <w:pStyle w:val="148"/>
        <w:rPr>
          <w:lang w:eastAsia="zh-CN"/>
        </w:rPr>
      </w:pPr>
      <w:r>
        <w:rPr>
          <w:rFonts w:hint="eastAsia"/>
          <w:lang w:eastAsia="zh-CN"/>
        </w:rPr>
        <w:t>全球主要市场</w:t>
      </w:r>
      <w:r>
        <w:rPr>
          <w:lang w:eastAsia="zh-CN"/>
        </w:rPr>
        <w:t>费托合成催化剂</w:t>
      </w:r>
      <w:r>
        <w:rPr>
          <w:rFonts w:hint="eastAsia"/>
          <w:lang w:eastAsia="zh-CN"/>
        </w:rPr>
        <w:t>规模</w:t>
      </w:r>
    </w:p>
    <w:p>
      <w:pPr>
        <w:pStyle w:val="143"/>
        <w:rPr>
          <w:lang w:eastAsia="zh-CN"/>
        </w:rPr>
      </w:pPr>
      <w:r>
        <w:rPr>
          <w:lang w:eastAsia="zh-CN"/>
        </w:rPr>
        <w:drawing>
          <wp:inline distT="0" distB="0" distL="0" distR="0">
            <wp:extent cx="6480810" cy="3060700"/>
            <wp:effectExtent l="0" t="0" r="1524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lang w:eastAsia="zh-CN"/>
        </w:rPr>
      </w:pPr>
      <w:r>
        <w:rPr>
          <w:lang w:eastAsia="zh-CN"/>
        </w:rPr>
        <w:drawing>
          <wp:inline distT="0" distB="0" distL="0" distR="0">
            <wp:extent cx="6480810" cy="3060700"/>
            <wp:effectExtent l="0" t="0" r="152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费托合成催化剂</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费托合成通常集成到更大的工艺中，例如煤制油 (CTL) 或天然气制油 (GTL) 工厂。 该集成可以更全面地利用原料并提高整体工艺效率。</w:t>
      </w:r>
    </w:p>
    <w:p>
      <w:pPr>
        <w:pStyle w:val="145"/>
        <w:rPr>
          <w:rFonts w:hint="eastAsia"/>
          <w:lang w:eastAsia="zh-CN"/>
        </w:rPr>
      </w:pPr>
      <w:r>
        <w:rPr>
          <w:rFonts w:hint="eastAsia"/>
          <w:lang w:eastAsia="zh-CN"/>
        </w:rPr>
        <w:t>与可再生能源和清洁燃料相关的政府政策和激励措施可以对费托催化剂行业产生重大影响。 支持性政策可能会鼓励该行业的投资和发展。</w:t>
      </w:r>
    </w:p>
    <w:p>
      <w:pPr>
        <w:pStyle w:val="145"/>
        <w:rPr>
          <w:lang w:eastAsia="zh-CN"/>
        </w:rPr>
      </w:pPr>
      <w:r>
        <w:rPr>
          <w:rFonts w:hint="eastAsia"/>
          <w:lang w:eastAsia="zh-CN"/>
        </w:rPr>
        <w:t>持续的研究和开发工作致力于改进费托催化剂。 这包括开发具有增强选择性、改善活性和增强抗失活能力的催化剂。</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费托工艺通常依赖于特定的原料，例如天然气或煤炭。 这些原料的可用性和定价可能会影响费托项目的经济可行性。</w:t>
      </w:r>
    </w:p>
    <w:p>
      <w:pPr>
        <w:pStyle w:val="145"/>
        <w:rPr>
          <w:rFonts w:hint="eastAsia"/>
          <w:lang w:eastAsia="zh-CN"/>
        </w:rPr>
      </w:pPr>
      <w:r>
        <w:rPr>
          <w:rFonts w:hint="eastAsia"/>
          <w:lang w:eastAsia="zh-CN"/>
        </w:rPr>
        <w:t>费托合成面临着来自其他合成燃料生产技术和工艺的竞争。 生物燃料生产或直接空气捕获等替代方法的进步可能会对费托催化剂的市场增长构成挑战。</w:t>
      </w:r>
    </w:p>
    <w:p>
      <w:pPr>
        <w:pStyle w:val="145"/>
        <w:rPr>
          <w:lang w:eastAsia="zh-CN"/>
        </w:rPr>
      </w:pPr>
      <w:r>
        <w:rPr>
          <w:rFonts w:hint="eastAsia"/>
          <w:lang w:eastAsia="zh-CN"/>
        </w:rPr>
        <w:t>将费托工艺从实验室或中试规模扩大到商业生产可能具有挑战性。 从小规模运营过渡到大规模工业应用时，可能会出现技术和工程挑战。</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能源领域越来越重视可持续性和环境问题。 费托合成，特别是当用于生物质制油或气体制油工艺时，被认为是生产清洁燃料的潜在途径。</w:t>
      </w:r>
    </w:p>
    <w:p>
      <w:pPr>
        <w:pStyle w:val="145"/>
        <w:rPr>
          <w:rFonts w:hint="eastAsia"/>
          <w:lang w:eastAsia="zh-CN"/>
        </w:rPr>
      </w:pPr>
      <w:r>
        <w:rPr>
          <w:rFonts w:hint="eastAsia"/>
          <w:lang w:eastAsia="zh-CN"/>
        </w:rPr>
        <w:t>钴基和铁基催化剂在费托合成中应用最广泛。 这两种类型之间的选择通常取决于具体的工艺要求和经济考虑。 研究仍在继续优化这两种催化剂的性能。</w:t>
      </w:r>
    </w:p>
    <w:p>
      <w:pPr>
        <w:pStyle w:val="145"/>
        <w:rPr>
          <w:lang w:eastAsia="zh-CN"/>
        </w:rPr>
      </w:pPr>
      <w:r>
        <w:rPr>
          <w:rFonts w:hint="eastAsia"/>
          <w:lang w:eastAsia="zh-CN"/>
        </w:rPr>
        <w:t>人们对费托合成越来越感兴趣，因为它能够生产从轻质气体到重质蜡的一系列碳氢化合物。 这种产品灵活性对于定制输出以满足特定的市场需求非常有价值。</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A50666"/>
    <w:rsid w:val="02E3014B"/>
    <w:rsid w:val="02E76B51"/>
    <w:rsid w:val="032F27C8"/>
    <w:rsid w:val="03447D4D"/>
    <w:rsid w:val="039F62FF"/>
    <w:rsid w:val="03C816C2"/>
    <w:rsid w:val="042F016D"/>
    <w:rsid w:val="047F596D"/>
    <w:rsid w:val="05405A2B"/>
    <w:rsid w:val="064B395F"/>
    <w:rsid w:val="064B71E3"/>
    <w:rsid w:val="06A607F6"/>
    <w:rsid w:val="06E95DE7"/>
    <w:rsid w:val="070A2A99"/>
    <w:rsid w:val="07287ACA"/>
    <w:rsid w:val="076247AC"/>
    <w:rsid w:val="07CE3ADB"/>
    <w:rsid w:val="07E72487"/>
    <w:rsid w:val="086D0162"/>
    <w:rsid w:val="09A76BE4"/>
    <w:rsid w:val="09B40479"/>
    <w:rsid w:val="09B74C81"/>
    <w:rsid w:val="0A164C9A"/>
    <w:rsid w:val="0A413560"/>
    <w:rsid w:val="0A9D03F6"/>
    <w:rsid w:val="0AFE7196"/>
    <w:rsid w:val="0B676BC5"/>
    <w:rsid w:val="0BE3650F"/>
    <w:rsid w:val="0BF132A6"/>
    <w:rsid w:val="0C1C1B6C"/>
    <w:rsid w:val="0C3C7EA2"/>
    <w:rsid w:val="0C946333"/>
    <w:rsid w:val="0C996F37"/>
    <w:rsid w:val="0CDE1C2A"/>
    <w:rsid w:val="0CE12BAF"/>
    <w:rsid w:val="0CE7033B"/>
    <w:rsid w:val="0D126C01"/>
    <w:rsid w:val="0D223618"/>
    <w:rsid w:val="0E550512"/>
    <w:rsid w:val="0F5116AE"/>
    <w:rsid w:val="100B4360"/>
    <w:rsid w:val="101C7E7E"/>
    <w:rsid w:val="10231A07"/>
    <w:rsid w:val="105A40DF"/>
    <w:rsid w:val="1087172B"/>
    <w:rsid w:val="10A04854"/>
    <w:rsid w:val="111D76A0"/>
    <w:rsid w:val="113605CA"/>
    <w:rsid w:val="118A2253"/>
    <w:rsid w:val="11930964"/>
    <w:rsid w:val="11F2677F"/>
    <w:rsid w:val="121421B7"/>
    <w:rsid w:val="12A32D1F"/>
    <w:rsid w:val="12B442BF"/>
    <w:rsid w:val="132135EE"/>
    <w:rsid w:val="14DF00CB"/>
    <w:rsid w:val="15391A5F"/>
    <w:rsid w:val="156712A9"/>
    <w:rsid w:val="15A62093"/>
    <w:rsid w:val="161C3356"/>
    <w:rsid w:val="161D5555"/>
    <w:rsid w:val="166C0B57"/>
    <w:rsid w:val="16722A60"/>
    <w:rsid w:val="170809D5"/>
    <w:rsid w:val="171325EA"/>
    <w:rsid w:val="17263809"/>
    <w:rsid w:val="174775C1"/>
    <w:rsid w:val="17826121"/>
    <w:rsid w:val="18052E77"/>
    <w:rsid w:val="18147C0E"/>
    <w:rsid w:val="182A5635"/>
    <w:rsid w:val="184461DF"/>
    <w:rsid w:val="191861B7"/>
    <w:rsid w:val="197444C3"/>
    <w:rsid w:val="19D133E7"/>
    <w:rsid w:val="19E67B09"/>
    <w:rsid w:val="1A302507"/>
    <w:rsid w:val="1A3A7593"/>
    <w:rsid w:val="1A6900E2"/>
    <w:rsid w:val="1A8F2520"/>
    <w:rsid w:val="1AE01026"/>
    <w:rsid w:val="1B2C5C22"/>
    <w:rsid w:val="1B415BC7"/>
    <w:rsid w:val="1B6E410D"/>
    <w:rsid w:val="1C5A0892"/>
    <w:rsid w:val="1C8D7DE8"/>
    <w:rsid w:val="1D1C50CD"/>
    <w:rsid w:val="1D517B25"/>
    <w:rsid w:val="1DB37BCA"/>
    <w:rsid w:val="1DD1717A"/>
    <w:rsid w:val="1E264686"/>
    <w:rsid w:val="1EEF62CD"/>
    <w:rsid w:val="1F6A5C17"/>
    <w:rsid w:val="1F990CE4"/>
    <w:rsid w:val="20404975"/>
    <w:rsid w:val="20664BB5"/>
    <w:rsid w:val="20D506EC"/>
    <w:rsid w:val="20ED3B94"/>
    <w:rsid w:val="213D6E16"/>
    <w:rsid w:val="214210A0"/>
    <w:rsid w:val="218E591C"/>
    <w:rsid w:val="21C42573"/>
    <w:rsid w:val="229F5759"/>
    <w:rsid w:val="22D20532"/>
    <w:rsid w:val="236D70AB"/>
    <w:rsid w:val="24356AF4"/>
    <w:rsid w:val="243B67FF"/>
    <w:rsid w:val="24710ED7"/>
    <w:rsid w:val="250878B5"/>
    <w:rsid w:val="250F7ADC"/>
    <w:rsid w:val="25B22B68"/>
    <w:rsid w:val="25FE1963"/>
    <w:rsid w:val="26126405"/>
    <w:rsid w:val="265B761D"/>
    <w:rsid w:val="27054714"/>
    <w:rsid w:val="27372964"/>
    <w:rsid w:val="28696559"/>
    <w:rsid w:val="28E41726"/>
    <w:rsid w:val="28F57442"/>
    <w:rsid w:val="296341F3"/>
    <w:rsid w:val="299E43D8"/>
    <w:rsid w:val="29AF6870"/>
    <w:rsid w:val="29DC643B"/>
    <w:rsid w:val="29FD43F1"/>
    <w:rsid w:val="2A5218FD"/>
    <w:rsid w:val="2A7478B3"/>
    <w:rsid w:val="2A8113B0"/>
    <w:rsid w:val="2C06004A"/>
    <w:rsid w:val="2C856399"/>
    <w:rsid w:val="2D090B71"/>
    <w:rsid w:val="2D373C3F"/>
    <w:rsid w:val="2D824FB8"/>
    <w:rsid w:val="2D9A265E"/>
    <w:rsid w:val="2E3737E1"/>
    <w:rsid w:val="2E807459"/>
    <w:rsid w:val="2ED33660"/>
    <w:rsid w:val="2EF9001C"/>
    <w:rsid w:val="2EFA1321"/>
    <w:rsid w:val="2F107C41"/>
    <w:rsid w:val="2FBF4562"/>
    <w:rsid w:val="3030139E"/>
    <w:rsid w:val="30711E07"/>
    <w:rsid w:val="30A844DF"/>
    <w:rsid w:val="31586882"/>
    <w:rsid w:val="31BC43A8"/>
    <w:rsid w:val="31BD1E29"/>
    <w:rsid w:val="31C02DAE"/>
    <w:rsid w:val="31CE7B45"/>
    <w:rsid w:val="31EF007A"/>
    <w:rsid w:val="327B56DF"/>
    <w:rsid w:val="32915685"/>
    <w:rsid w:val="32925305"/>
    <w:rsid w:val="33301D0B"/>
    <w:rsid w:val="333A261A"/>
    <w:rsid w:val="33995EB7"/>
    <w:rsid w:val="33CF4D0C"/>
    <w:rsid w:val="347B64AA"/>
    <w:rsid w:val="34945D4F"/>
    <w:rsid w:val="34A64D70"/>
    <w:rsid w:val="34D15BB4"/>
    <w:rsid w:val="34ED1C61"/>
    <w:rsid w:val="354E0A01"/>
    <w:rsid w:val="35650626"/>
    <w:rsid w:val="35684E2E"/>
    <w:rsid w:val="357A05CB"/>
    <w:rsid w:val="35AF77A0"/>
    <w:rsid w:val="36840A7D"/>
    <w:rsid w:val="36A9323B"/>
    <w:rsid w:val="38232AA8"/>
    <w:rsid w:val="382E3037"/>
    <w:rsid w:val="38356245"/>
    <w:rsid w:val="385A0A04"/>
    <w:rsid w:val="389030DC"/>
    <w:rsid w:val="38CB7A3E"/>
    <w:rsid w:val="38F85F83"/>
    <w:rsid w:val="38FB278B"/>
    <w:rsid w:val="393D6A78"/>
    <w:rsid w:val="39833969"/>
    <w:rsid w:val="398D7AFC"/>
    <w:rsid w:val="399248BD"/>
    <w:rsid w:val="39984266"/>
    <w:rsid w:val="39AE2B63"/>
    <w:rsid w:val="39CE0565"/>
    <w:rsid w:val="39E11784"/>
    <w:rsid w:val="39F13F9D"/>
    <w:rsid w:val="3A522D3D"/>
    <w:rsid w:val="3A572A48"/>
    <w:rsid w:val="3A733271"/>
    <w:rsid w:val="3AC37B79"/>
    <w:rsid w:val="3BAF51F7"/>
    <w:rsid w:val="3CC92C1C"/>
    <w:rsid w:val="3CEF5B84"/>
    <w:rsid w:val="3CF93F15"/>
    <w:rsid w:val="3D6F51D8"/>
    <w:rsid w:val="3D947997"/>
    <w:rsid w:val="3DAD2ABF"/>
    <w:rsid w:val="3DD50400"/>
    <w:rsid w:val="3DFB283E"/>
    <w:rsid w:val="3E025A4C"/>
    <w:rsid w:val="3E2171FA"/>
    <w:rsid w:val="3E9704BE"/>
    <w:rsid w:val="3F2D1CB6"/>
    <w:rsid w:val="3F721126"/>
    <w:rsid w:val="3F9F0CF0"/>
    <w:rsid w:val="40202543"/>
    <w:rsid w:val="4222518C"/>
    <w:rsid w:val="425311DE"/>
    <w:rsid w:val="42677E7F"/>
    <w:rsid w:val="43212B30"/>
    <w:rsid w:val="436E2C30"/>
    <w:rsid w:val="437525BA"/>
    <w:rsid w:val="443F5506"/>
    <w:rsid w:val="44757F5F"/>
    <w:rsid w:val="44E0180C"/>
    <w:rsid w:val="45433AAF"/>
    <w:rsid w:val="456F5BF8"/>
    <w:rsid w:val="45921630"/>
    <w:rsid w:val="45AA4758"/>
    <w:rsid w:val="45D27E9B"/>
    <w:rsid w:val="460B12FA"/>
    <w:rsid w:val="46136706"/>
    <w:rsid w:val="4622569C"/>
    <w:rsid w:val="462369A1"/>
    <w:rsid w:val="46845740"/>
    <w:rsid w:val="46F91E7C"/>
    <w:rsid w:val="473D2970"/>
    <w:rsid w:val="477F6C5D"/>
    <w:rsid w:val="47F46C1C"/>
    <w:rsid w:val="485D4FC6"/>
    <w:rsid w:val="48847404"/>
    <w:rsid w:val="494574C2"/>
    <w:rsid w:val="4A4A12EF"/>
    <w:rsid w:val="4A4D7CF5"/>
    <w:rsid w:val="4AE56F6F"/>
    <w:rsid w:val="4B427308"/>
    <w:rsid w:val="4B812670"/>
    <w:rsid w:val="4B8D6483"/>
    <w:rsid w:val="4C054E48"/>
    <w:rsid w:val="4C537145"/>
    <w:rsid w:val="4CF3124D"/>
    <w:rsid w:val="4D686C8D"/>
    <w:rsid w:val="4DA25B6E"/>
    <w:rsid w:val="4DFF2684"/>
    <w:rsid w:val="4E1103A0"/>
    <w:rsid w:val="4FA82A40"/>
    <w:rsid w:val="5074340D"/>
    <w:rsid w:val="508942AC"/>
    <w:rsid w:val="508A77AF"/>
    <w:rsid w:val="508F1A38"/>
    <w:rsid w:val="50F25EDA"/>
    <w:rsid w:val="511C03A3"/>
    <w:rsid w:val="51656219"/>
    <w:rsid w:val="51804844"/>
    <w:rsid w:val="51ED73F6"/>
    <w:rsid w:val="525D67B1"/>
    <w:rsid w:val="52817C6A"/>
    <w:rsid w:val="52D41C73"/>
    <w:rsid w:val="53121757"/>
    <w:rsid w:val="53362C11"/>
    <w:rsid w:val="53AB3ED4"/>
    <w:rsid w:val="546A778A"/>
    <w:rsid w:val="54AD6F7A"/>
    <w:rsid w:val="54D87DBE"/>
    <w:rsid w:val="5510379B"/>
    <w:rsid w:val="551769A9"/>
    <w:rsid w:val="554503F2"/>
    <w:rsid w:val="55671C2C"/>
    <w:rsid w:val="560A4CB8"/>
    <w:rsid w:val="56761DE9"/>
    <w:rsid w:val="56925E96"/>
    <w:rsid w:val="56B70654"/>
    <w:rsid w:val="56F10111"/>
    <w:rsid w:val="57391B27"/>
    <w:rsid w:val="57805B1E"/>
    <w:rsid w:val="57AD4064"/>
    <w:rsid w:val="585F1909"/>
    <w:rsid w:val="58C838B7"/>
    <w:rsid w:val="58C93537"/>
    <w:rsid w:val="590A5625"/>
    <w:rsid w:val="591D6844"/>
    <w:rsid w:val="59227449"/>
    <w:rsid w:val="59943F04"/>
    <w:rsid w:val="59F70726"/>
    <w:rsid w:val="5A5874C6"/>
    <w:rsid w:val="5A7979FA"/>
    <w:rsid w:val="5A897C95"/>
    <w:rsid w:val="5AE738B1"/>
    <w:rsid w:val="5C140AA0"/>
    <w:rsid w:val="5C2A2C44"/>
    <w:rsid w:val="5CF4010E"/>
    <w:rsid w:val="5CF94596"/>
    <w:rsid w:val="5D0C1038"/>
    <w:rsid w:val="5D514C25"/>
    <w:rsid w:val="5E074753"/>
    <w:rsid w:val="5E363F9E"/>
    <w:rsid w:val="5EE42E3D"/>
    <w:rsid w:val="5EEC0249"/>
    <w:rsid w:val="5F245E25"/>
    <w:rsid w:val="5F3176B9"/>
    <w:rsid w:val="5F6B1E1C"/>
    <w:rsid w:val="5FB8335D"/>
    <w:rsid w:val="5FBF6023"/>
    <w:rsid w:val="5FDF73FB"/>
    <w:rsid w:val="60534318"/>
    <w:rsid w:val="608060E1"/>
    <w:rsid w:val="60B146B2"/>
    <w:rsid w:val="60C36BF4"/>
    <w:rsid w:val="615E224C"/>
    <w:rsid w:val="62502AD9"/>
    <w:rsid w:val="62C01E93"/>
    <w:rsid w:val="62C06610"/>
    <w:rsid w:val="633F4960"/>
    <w:rsid w:val="639F01FD"/>
    <w:rsid w:val="63E663F3"/>
    <w:rsid w:val="640843A9"/>
    <w:rsid w:val="64112ABA"/>
    <w:rsid w:val="648B4982"/>
    <w:rsid w:val="64AF38BD"/>
    <w:rsid w:val="650D74DA"/>
    <w:rsid w:val="65811A17"/>
    <w:rsid w:val="662A0BAB"/>
    <w:rsid w:val="66647A8B"/>
    <w:rsid w:val="66BC5F1C"/>
    <w:rsid w:val="66D222BD"/>
    <w:rsid w:val="67600C28"/>
    <w:rsid w:val="6777664F"/>
    <w:rsid w:val="6889198F"/>
    <w:rsid w:val="691C697F"/>
    <w:rsid w:val="696D5485"/>
    <w:rsid w:val="69837628"/>
    <w:rsid w:val="69880C71"/>
    <w:rsid w:val="69AB2D6B"/>
    <w:rsid w:val="69FF27F5"/>
    <w:rsid w:val="6AC14AB2"/>
    <w:rsid w:val="6AD050CC"/>
    <w:rsid w:val="6B026BA0"/>
    <w:rsid w:val="6B046820"/>
    <w:rsid w:val="6B1D51CB"/>
    <w:rsid w:val="6B213BD1"/>
    <w:rsid w:val="6C974A38"/>
    <w:rsid w:val="6CC07DFA"/>
    <w:rsid w:val="6CE1026C"/>
    <w:rsid w:val="6D0475EA"/>
    <w:rsid w:val="6D7A7229"/>
    <w:rsid w:val="6D891A42"/>
    <w:rsid w:val="6E4E2A84"/>
    <w:rsid w:val="6EB3022A"/>
    <w:rsid w:val="6F21085E"/>
    <w:rsid w:val="6F32657A"/>
    <w:rsid w:val="6F6438D1"/>
    <w:rsid w:val="6F9D14AD"/>
    <w:rsid w:val="700468D2"/>
    <w:rsid w:val="706C4FFD"/>
    <w:rsid w:val="70EA114F"/>
    <w:rsid w:val="71062FFD"/>
    <w:rsid w:val="71791CB7"/>
    <w:rsid w:val="71F44E84"/>
    <w:rsid w:val="72414F83"/>
    <w:rsid w:val="72492390"/>
    <w:rsid w:val="726A4AC3"/>
    <w:rsid w:val="7271444E"/>
    <w:rsid w:val="72BA00C5"/>
    <w:rsid w:val="73357A0F"/>
    <w:rsid w:val="73376795"/>
    <w:rsid w:val="73651863"/>
    <w:rsid w:val="739E3BBB"/>
    <w:rsid w:val="73D44095"/>
    <w:rsid w:val="74BF2D99"/>
    <w:rsid w:val="74C64922"/>
    <w:rsid w:val="74D900BF"/>
    <w:rsid w:val="74F963F6"/>
    <w:rsid w:val="75286F45"/>
    <w:rsid w:val="7537175E"/>
    <w:rsid w:val="755D199D"/>
    <w:rsid w:val="756B2EB1"/>
    <w:rsid w:val="75DE31F0"/>
    <w:rsid w:val="76377102"/>
    <w:rsid w:val="765A4D38"/>
    <w:rsid w:val="76C30EE4"/>
    <w:rsid w:val="76E44C9C"/>
    <w:rsid w:val="77A26354"/>
    <w:rsid w:val="780D5A03"/>
    <w:rsid w:val="78574EC9"/>
    <w:rsid w:val="787466AD"/>
    <w:rsid w:val="78967EE6"/>
    <w:rsid w:val="793144E1"/>
    <w:rsid w:val="79AA6729"/>
    <w:rsid w:val="79E10E02"/>
    <w:rsid w:val="7A4024A0"/>
    <w:rsid w:val="7AC62379"/>
    <w:rsid w:val="7B540CE3"/>
    <w:rsid w:val="7B716095"/>
    <w:rsid w:val="7B7C4426"/>
    <w:rsid w:val="7BA41D67"/>
    <w:rsid w:val="7C1977A8"/>
    <w:rsid w:val="7C99137B"/>
    <w:rsid w:val="7D2953E6"/>
    <w:rsid w:val="7D817FF3"/>
    <w:rsid w:val="7DFC793D"/>
    <w:rsid w:val="7E261E06"/>
    <w:rsid w:val="7E734104"/>
    <w:rsid w:val="7E990AC0"/>
    <w:rsid w:val="7F0439F3"/>
    <w:rsid w:val="7F0B7AFA"/>
    <w:rsid w:val="7F107805"/>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2024-01-18T08:38:35Z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DA55BB67113D4E6CB703DB1B8DF48AF9_13</vt:lpwstr>
  </property>
</Properties>
</file>