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C48C81">
      <w:pPr>
        <w:pStyle w:val="2"/>
        <w:bidi w:val="0"/>
        <w:rPr>
          <w:rFonts w:hint="eastAsia" w:ascii="楷体" w:hAnsi="楷体" w:eastAsia="楷体" w:cs="楷体"/>
        </w:rPr>
      </w:pPr>
      <w:bookmarkStart w:id="0" w:name="_GoBack"/>
      <w:r>
        <w:rPr>
          <w:rFonts w:hint="eastAsia" w:ascii="楷体" w:hAnsi="楷体" w:eastAsia="楷体" w:cs="楷体"/>
        </w:rPr>
        <w:t>c-Kit/SCF信号轴概述及病理生理作用</w:t>
      </w:r>
    </w:p>
    <w:bookmarkEnd w:id="0"/>
    <w:p w14:paraId="76414A52">
      <w:pPr>
        <w:rPr>
          <w:rFonts w:hint="eastAsia" w:ascii="楷体" w:hAnsi="楷体" w:eastAsia="楷体" w:cs="楷体"/>
          <w:sz w:val="28"/>
          <w:szCs w:val="28"/>
        </w:rPr>
      </w:pPr>
    </w:p>
    <w:p w14:paraId="25051518">
      <w:pPr>
        <w:rPr>
          <w:rFonts w:hint="eastAsia" w:ascii="楷体" w:hAnsi="楷体" w:eastAsia="楷体" w:cs="楷体"/>
          <w:sz w:val="28"/>
          <w:szCs w:val="28"/>
        </w:rPr>
      </w:pPr>
    </w:p>
    <w:p w14:paraId="5D4866A1">
      <w:pPr>
        <w:pStyle w:val="3"/>
        <w:bidi w:val="0"/>
        <w:rPr>
          <w:rFonts w:hint="eastAsia" w:ascii="楷体" w:hAnsi="楷体" w:eastAsia="楷体" w:cs="楷体"/>
          <w:sz w:val="28"/>
          <w:szCs w:val="28"/>
        </w:rPr>
      </w:pPr>
      <w:r>
        <w:rPr>
          <w:rFonts w:hint="eastAsia" w:ascii="楷体" w:hAnsi="楷体" w:eastAsia="楷体" w:cs="楷体"/>
        </w:rPr>
        <w:t>前  言</w:t>
      </w:r>
    </w:p>
    <w:p w14:paraId="6A7A6699">
      <w:pPr>
        <w:rPr>
          <w:rFonts w:hint="eastAsia" w:ascii="楷体" w:hAnsi="楷体" w:eastAsia="楷体" w:cs="楷体"/>
          <w:sz w:val="28"/>
          <w:szCs w:val="28"/>
        </w:rPr>
      </w:pPr>
      <w:r>
        <w:rPr>
          <w:rFonts w:hint="eastAsia" w:ascii="楷体" w:hAnsi="楷体" w:eastAsia="楷体" w:cs="楷体"/>
          <w:sz w:val="28"/>
          <w:szCs w:val="28"/>
        </w:rPr>
        <w:t>受体酪氨酸激酶是正常细胞功能必不可少的，其功能障碍与多种疾病相关。c-Kit属于Ⅲ型受体酪氨酸激酶，参与细胞内信号传导。c-Kit及其配体SCF在胚胎发育和人类癌症的进展中发挥至关重要的作用。c-Kit/SCF的异常信号传导是某些癌症中癌症干性的重要促进因素。c-Kit的功能决定其可以作为癌症治疗的靶点，目前处于临床试验阶段靶向c-Kit的疗法超过40项。</w:t>
      </w:r>
    </w:p>
    <w:p w14:paraId="699B3F5D">
      <w:pPr>
        <w:rPr>
          <w:rFonts w:hint="eastAsia" w:ascii="楷体" w:hAnsi="楷体" w:eastAsia="楷体" w:cs="楷体"/>
          <w:sz w:val="28"/>
          <w:szCs w:val="28"/>
        </w:rPr>
      </w:pPr>
    </w:p>
    <w:p w14:paraId="19E06E5B">
      <w:pPr>
        <w:pStyle w:val="3"/>
        <w:bidi w:val="0"/>
        <w:rPr>
          <w:rFonts w:hint="eastAsia" w:ascii="楷体" w:hAnsi="楷体" w:eastAsia="楷体" w:cs="楷体"/>
          <w:sz w:val="28"/>
          <w:szCs w:val="28"/>
        </w:rPr>
      </w:pPr>
      <w:r>
        <w:rPr>
          <w:rFonts w:hint="eastAsia" w:ascii="楷体" w:hAnsi="楷体" w:eastAsia="楷体" w:cs="楷体"/>
        </w:rPr>
        <w:t>01</w:t>
      </w:r>
      <w:r>
        <w:rPr>
          <w:rFonts w:hint="eastAsia" w:ascii="楷体" w:hAnsi="楷体" w:eastAsia="楷体" w:cs="楷体"/>
          <w:lang w:val="en-US" w:eastAsia="zh-CN"/>
        </w:rPr>
        <w:t xml:space="preserve"> </w:t>
      </w:r>
      <w:r>
        <w:rPr>
          <w:rFonts w:hint="eastAsia" w:ascii="楷体" w:hAnsi="楷体" w:eastAsia="楷体" w:cs="楷体"/>
        </w:rPr>
        <w:t>c-Kit：结构与生物学功能</w:t>
      </w:r>
    </w:p>
    <w:p w14:paraId="5BD2C6CF">
      <w:pPr>
        <w:rPr>
          <w:rFonts w:hint="eastAsia" w:ascii="楷体" w:hAnsi="楷体" w:eastAsia="楷体" w:cs="楷体"/>
          <w:sz w:val="28"/>
          <w:szCs w:val="28"/>
        </w:rPr>
      </w:pPr>
      <w:r>
        <w:rPr>
          <w:rFonts w:hint="eastAsia" w:ascii="楷体" w:hAnsi="楷体" w:eastAsia="楷体" w:cs="楷体"/>
          <w:sz w:val="28"/>
          <w:szCs w:val="28"/>
        </w:rPr>
        <w:t>c-Kit又称CD117，可特异性结合干细胞因子SCF。c-Kit结构包括胞外区、跨膜区和胞内区。胞外区由5个免疫球蛋白样结构域组成，前3个结构域参与SCF的结合，而第4、5结构域参与受体的二聚化。胞内区为受体催化域，具有调节受体酪氨酸激酶活性的作用。</w:t>
      </w:r>
    </w:p>
    <w:p w14:paraId="7E854577">
      <w:pPr>
        <w:rPr>
          <w:rFonts w:hint="eastAsia" w:ascii="楷体" w:hAnsi="楷体" w:eastAsia="楷体" w:cs="楷体"/>
          <w:sz w:val="28"/>
          <w:szCs w:val="28"/>
        </w:rPr>
      </w:pPr>
    </w:p>
    <w:p w14:paraId="47D318DC">
      <w:pPr>
        <w:rPr>
          <w:rFonts w:hint="eastAsia" w:ascii="楷体" w:hAnsi="楷体" w:eastAsia="楷体" w:cs="楷体"/>
          <w:sz w:val="28"/>
          <w:szCs w:val="28"/>
        </w:rPr>
      </w:pPr>
    </w:p>
    <w:p w14:paraId="766C017B">
      <w:pPr>
        <w:rPr>
          <w:rFonts w:hint="eastAsia" w:ascii="楷体" w:hAnsi="楷体" w:eastAsia="楷体" w:cs="楷体"/>
          <w:sz w:val="28"/>
          <w:szCs w:val="28"/>
        </w:rPr>
      </w:pPr>
    </w:p>
    <w:p w14:paraId="14E8A339">
      <w:pPr>
        <w:rPr>
          <w:rFonts w:hint="eastAsia" w:ascii="楷体" w:hAnsi="楷体" w:eastAsia="楷体" w:cs="楷体"/>
          <w:sz w:val="28"/>
          <w:szCs w:val="28"/>
        </w:rPr>
      </w:pPr>
      <w:r>
        <w:rPr>
          <w:rFonts w:hint="eastAsia" w:ascii="楷体" w:hAnsi="楷体" w:eastAsia="楷体" w:cs="楷体"/>
          <w:sz w:val="28"/>
          <w:szCs w:val="28"/>
        </w:rPr>
        <w:t>正常状态下，c-Kit以单体形式存在。与配体SCF结合后发生二聚化及自身磷酸化，进而激活下游信号通路，参与细胞增殖、分化、凋亡和迁移等细胞过程。一些含有SH2和酪氨酸结合域的蛋白负调控c-Kit的活性，如SHP-1、SOCS6。</w:t>
      </w:r>
    </w:p>
    <w:p w14:paraId="688C44A2">
      <w:pPr>
        <w:rPr>
          <w:rFonts w:hint="eastAsia" w:ascii="楷体" w:hAnsi="楷体" w:eastAsia="楷体" w:cs="楷体"/>
          <w:sz w:val="28"/>
          <w:szCs w:val="28"/>
        </w:rPr>
      </w:pPr>
      <w:r>
        <w:rPr>
          <w:rFonts w:hint="eastAsia" w:ascii="楷体" w:hAnsi="楷体" w:eastAsia="楷体" w:cs="楷体"/>
          <w:sz w:val="28"/>
          <w:szCs w:val="28"/>
        </w:rPr>
        <w:t>体内多种细胞均表达c-Kit，在干细胞、祖细胞和其他具有自我更新能力的细胞中显著表达。在正常骨髓中，c-Kit由造血干细胞表达，在自我更新和分化为各种血细胞中发挥重要作用。c-Kit的表达在造血分化过程中逐渐丧失，仅在肥大细胞、自然杀伤细胞（NK）和树突状细胞（DC）中保留或增加，表明c-Kit在炎症和免疫中具有重要功能。除了骨髓来源的干细胞，成人的前列腺、肝脏、心脏等器官也表达c-Kit，表明c-Kit/SCF信号通路可能有助于某些器官的干细胞。此外，c-Kit信号已被证明可以调节卵子发生、卵泡发生和精子发生，在女性和男性的生育能力中发挥重要作用。c-Kit对黑素细胞从神经嵴向真皮层的增殖、存活和迁移也至关重要。</w:t>
      </w:r>
    </w:p>
    <w:p w14:paraId="7C34C3DD">
      <w:pPr>
        <w:rPr>
          <w:rFonts w:hint="eastAsia" w:ascii="楷体" w:hAnsi="楷体" w:eastAsia="楷体" w:cs="楷体"/>
          <w:sz w:val="28"/>
          <w:szCs w:val="28"/>
        </w:rPr>
      </w:pPr>
    </w:p>
    <w:p w14:paraId="0D094234">
      <w:pPr>
        <w:pStyle w:val="3"/>
        <w:bidi w:val="0"/>
        <w:rPr>
          <w:rFonts w:hint="eastAsia" w:ascii="楷体" w:hAnsi="楷体" w:eastAsia="楷体" w:cs="楷体"/>
          <w:sz w:val="28"/>
          <w:szCs w:val="28"/>
        </w:rPr>
      </w:pPr>
      <w:r>
        <w:rPr>
          <w:rFonts w:hint="eastAsia" w:ascii="楷体" w:hAnsi="楷体" w:eastAsia="楷体" w:cs="楷体"/>
        </w:rPr>
        <w:t>02</w:t>
      </w:r>
      <w:r>
        <w:rPr>
          <w:rFonts w:hint="eastAsia" w:ascii="楷体" w:hAnsi="楷体" w:eastAsia="楷体" w:cs="楷体"/>
          <w:lang w:val="en-US" w:eastAsia="zh-CN"/>
        </w:rPr>
        <w:t xml:space="preserve"> </w:t>
      </w:r>
      <w:r>
        <w:rPr>
          <w:rFonts w:hint="eastAsia" w:ascii="楷体" w:hAnsi="楷体" w:eastAsia="楷体" w:cs="楷体"/>
        </w:rPr>
        <w:t>c-Kit：不同信号通路的成员</w:t>
      </w:r>
    </w:p>
    <w:p w14:paraId="62AFE461">
      <w:pPr>
        <w:rPr>
          <w:rFonts w:hint="eastAsia" w:ascii="楷体" w:hAnsi="楷体" w:eastAsia="楷体" w:cs="楷体"/>
          <w:sz w:val="28"/>
          <w:szCs w:val="28"/>
        </w:rPr>
      </w:pPr>
      <w:r>
        <w:rPr>
          <w:rFonts w:hint="eastAsia" w:ascii="楷体" w:hAnsi="楷体" w:eastAsia="楷体" w:cs="楷体"/>
          <w:sz w:val="28"/>
          <w:szCs w:val="28"/>
        </w:rPr>
        <w:t>c-Kit磷酸化触发多种信号转导通路，包括JAK/STAT、RAS/MAP激酶通路、PI3激酶、PLCγ通路和SRC通路。一旦c-Kit被激活，细胞存活、增殖、分化和迁移就会发生，这需要这些通路的重叠。自磷酸化后，c-Kit被SOCS6迅速泛素化，导致内化和降解。</w:t>
      </w:r>
    </w:p>
    <w:p w14:paraId="004F47EA">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269230" cy="4320540"/>
            <wp:effectExtent l="0" t="0" r="7620" b="381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4"/>
                    <a:stretch>
                      <a:fillRect/>
                    </a:stretch>
                  </pic:blipFill>
                  <pic:spPr>
                    <a:xfrm>
                      <a:off x="0" y="0"/>
                      <a:ext cx="5269230" cy="4320540"/>
                    </a:xfrm>
                    <a:prstGeom prst="rect">
                      <a:avLst/>
                    </a:prstGeom>
                  </pic:spPr>
                </pic:pic>
              </a:graphicData>
            </a:graphic>
          </wp:inline>
        </w:drawing>
      </w:r>
    </w:p>
    <w:p w14:paraId="02124C54">
      <w:pPr>
        <w:rPr>
          <w:rFonts w:hint="eastAsia" w:ascii="楷体" w:hAnsi="楷体" w:eastAsia="楷体" w:cs="楷体"/>
          <w:sz w:val="28"/>
          <w:szCs w:val="28"/>
        </w:rPr>
      </w:pPr>
    </w:p>
    <w:p w14:paraId="5A54EE32">
      <w:pPr>
        <w:rPr>
          <w:rFonts w:hint="eastAsia" w:ascii="楷体" w:hAnsi="楷体" w:eastAsia="楷体" w:cs="楷体"/>
          <w:sz w:val="24"/>
          <w:szCs w:val="24"/>
        </w:rPr>
      </w:pPr>
      <w:r>
        <w:rPr>
          <w:rFonts w:hint="eastAsia" w:ascii="楷体" w:hAnsi="楷体" w:eastAsia="楷体" w:cs="楷体"/>
          <w:sz w:val="24"/>
          <w:szCs w:val="24"/>
        </w:rPr>
        <w:t>Ras/Erk信号导致 Ras-raf-mek-Erk 通路的激活。</w:t>
      </w:r>
    </w:p>
    <w:p w14:paraId="004EF1B0">
      <w:pPr>
        <w:rPr>
          <w:rFonts w:hint="eastAsia" w:ascii="楷体" w:hAnsi="楷体" w:eastAsia="楷体" w:cs="楷体"/>
          <w:sz w:val="24"/>
          <w:szCs w:val="24"/>
        </w:rPr>
      </w:pPr>
      <w:r>
        <w:rPr>
          <w:rFonts w:hint="eastAsia" w:ascii="楷体" w:hAnsi="楷体" w:eastAsia="楷体" w:cs="楷体"/>
          <w:sz w:val="24"/>
          <w:szCs w:val="24"/>
        </w:rPr>
        <w:t>PI3K与血管形成和细胞存活有关。</w:t>
      </w:r>
    </w:p>
    <w:p w14:paraId="16DFB4A2">
      <w:pPr>
        <w:rPr>
          <w:rFonts w:hint="eastAsia" w:ascii="楷体" w:hAnsi="楷体" w:eastAsia="楷体" w:cs="楷体"/>
          <w:sz w:val="24"/>
          <w:szCs w:val="24"/>
        </w:rPr>
      </w:pPr>
      <w:r>
        <w:rPr>
          <w:rFonts w:hint="eastAsia" w:ascii="楷体" w:hAnsi="楷体" w:eastAsia="楷体" w:cs="楷体"/>
          <w:sz w:val="24"/>
          <w:szCs w:val="24"/>
        </w:rPr>
        <w:t>PLC-γ信号调节细胞增殖和存活。</w:t>
      </w:r>
    </w:p>
    <w:p w14:paraId="5508989F">
      <w:pPr>
        <w:rPr>
          <w:rFonts w:hint="eastAsia" w:ascii="楷体" w:hAnsi="楷体" w:eastAsia="楷体" w:cs="楷体"/>
          <w:sz w:val="24"/>
          <w:szCs w:val="24"/>
        </w:rPr>
      </w:pPr>
      <w:r>
        <w:rPr>
          <w:rFonts w:hint="eastAsia" w:ascii="楷体" w:hAnsi="楷体" w:eastAsia="楷体" w:cs="楷体"/>
          <w:sz w:val="24"/>
          <w:szCs w:val="24"/>
        </w:rPr>
        <w:t>Src信号在细胞存活、增殖、运动、迁移、侵袭和血管形成等多个信号转导通路中起关键作用。</w:t>
      </w:r>
    </w:p>
    <w:p w14:paraId="7128E7AE">
      <w:pPr>
        <w:rPr>
          <w:rFonts w:hint="eastAsia" w:ascii="楷体" w:hAnsi="楷体" w:eastAsia="楷体" w:cs="楷体"/>
          <w:sz w:val="24"/>
          <w:szCs w:val="24"/>
        </w:rPr>
      </w:pPr>
      <w:r>
        <w:rPr>
          <w:rFonts w:hint="eastAsia" w:ascii="楷体" w:hAnsi="楷体" w:eastAsia="楷体" w:cs="楷体"/>
          <w:sz w:val="24"/>
          <w:szCs w:val="24"/>
        </w:rPr>
        <w:t>JAK/STAT信号参与细胞增殖、分化和凋亡。</w:t>
      </w:r>
    </w:p>
    <w:p w14:paraId="39DECFB6">
      <w:pPr>
        <w:rPr>
          <w:rFonts w:hint="eastAsia" w:ascii="楷体" w:hAnsi="楷体" w:eastAsia="楷体" w:cs="楷体"/>
          <w:sz w:val="28"/>
          <w:szCs w:val="28"/>
        </w:rPr>
      </w:pPr>
    </w:p>
    <w:p w14:paraId="46A55E16">
      <w:pPr>
        <w:pStyle w:val="3"/>
        <w:bidi w:val="0"/>
        <w:rPr>
          <w:rFonts w:hint="eastAsia" w:ascii="楷体" w:hAnsi="楷体" w:eastAsia="楷体" w:cs="楷体"/>
          <w:sz w:val="28"/>
          <w:szCs w:val="28"/>
        </w:rPr>
      </w:pPr>
      <w:r>
        <w:rPr>
          <w:rFonts w:hint="eastAsia" w:ascii="楷体" w:hAnsi="楷体" w:eastAsia="楷体" w:cs="楷体"/>
        </w:rPr>
        <w:t>03</w:t>
      </w:r>
      <w:r>
        <w:rPr>
          <w:rFonts w:hint="eastAsia" w:ascii="楷体" w:hAnsi="楷体" w:eastAsia="楷体" w:cs="楷体"/>
          <w:lang w:val="en-US" w:eastAsia="zh-CN"/>
        </w:rPr>
        <w:t xml:space="preserve"> </w:t>
      </w:r>
      <w:r>
        <w:rPr>
          <w:rFonts w:hint="eastAsia" w:ascii="楷体" w:hAnsi="楷体" w:eastAsia="楷体" w:cs="楷体"/>
        </w:rPr>
        <w:t>c-Kit：病理生理作用</w:t>
      </w:r>
    </w:p>
    <w:p w14:paraId="2596FECD">
      <w:pPr>
        <w:rPr>
          <w:rFonts w:hint="eastAsia" w:ascii="楷体" w:hAnsi="楷体" w:eastAsia="楷体" w:cs="楷体"/>
          <w:sz w:val="28"/>
          <w:szCs w:val="28"/>
        </w:rPr>
      </w:pPr>
      <w:r>
        <w:rPr>
          <w:rFonts w:hint="eastAsia" w:ascii="楷体" w:hAnsi="楷体" w:eastAsia="楷体" w:cs="楷体"/>
          <w:sz w:val="28"/>
          <w:szCs w:val="28"/>
        </w:rPr>
        <w:t>如上所述，c-Kit参与多种细胞功能，其功能失调会引起多种疾病发生，如癌症。这种失调的发生可能有多种原因，包括功能获得或功能丧失突变、其他点突变等。基于过表达或突变的c-Kit的作用已在几种癌症中得到证实。在系统性肥大细胞增多症的增生性病例中观察到c-Kit的突变。c-Kit过表达最常见的包括胃肠道肿瘤、结直肠癌、小细胞肺癌、神经母细胞瘤和恶性间皮瘤。因此，c-Kit被认为是治疗多种类型癌症的关键靶点之一。</w:t>
      </w:r>
    </w:p>
    <w:p w14:paraId="20AF1D7E">
      <w:pPr>
        <w:rPr>
          <w:rFonts w:hint="eastAsia" w:ascii="楷体" w:hAnsi="楷体" w:eastAsia="楷体" w:cs="楷体"/>
          <w:sz w:val="28"/>
          <w:szCs w:val="28"/>
        </w:rPr>
      </w:pPr>
      <w:r>
        <w:rPr>
          <w:rFonts w:hint="eastAsia" w:ascii="楷体" w:hAnsi="楷体" w:eastAsia="楷体" w:cs="楷体"/>
          <w:sz w:val="28"/>
          <w:szCs w:val="28"/>
        </w:rPr>
        <w:t>近期研究和临床数据表明，c-Kit可有效的用于预后，特别是预测癌症转移和对化疗的反应。涉及c-Kit的生物标志物在各种肿瘤细胞类型中被鉴定和研究，有研究发现c-Kit在21%的乳腺癌、17%的结直肠癌、35%的肉瘤、36%的肾细胞癌、17%的卵巢癌和17%的肝细胞肿瘤中表达。虽然不显著，但这些患者的预后有恶化趋势。c-Kit的激活突变和过表达是骨微环境外发生多发性实体瘤转移的参考因素。</w:t>
      </w:r>
    </w:p>
    <w:p w14:paraId="5E8DC1EB">
      <w:pPr>
        <w:rPr>
          <w:rFonts w:hint="eastAsia" w:ascii="楷体" w:hAnsi="楷体" w:eastAsia="楷体" w:cs="楷体"/>
          <w:sz w:val="28"/>
          <w:szCs w:val="28"/>
        </w:rPr>
      </w:pPr>
      <w:r>
        <w:rPr>
          <w:rFonts w:hint="eastAsia" w:ascii="楷体" w:hAnsi="楷体" w:eastAsia="楷体" w:cs="楷体"/>
          <w:sz w:val="28"/>
          <w:szCs w:val="28"/>
        </w:rPr>
        <w:t>c-Kit和SCF的相互作用可能驱动癌症的进展和转移。骨髓是癌症转移的一个位置，发现高水平的SCF。研究发现骨髓基质细胞和前列腺癌细胞同时表达膜性和可溶性SCF。一旦暴露于SCF含量高的骨髓，前列腺癌细胞开始表达c-Kit，提示骨微环境可能诱导c-Kit表达，导致过表达和转移。缺氧组织产生SCF诱导c-Kit阳性骨髓细胞动员和归巢。</w:t>
      </w:r>
    </w:p>
    <w:p w14:paraId="6C37FE5A">
      <w:pPr>
        <w:rPr>
          <w:rFonts w:hint="eastAsia" w:ascii="楷体" w:hAnsi="楷体" w:eastAsia="楷体" w:cs="楷体"/>
          <w:sz w:val="28"/>
          <w:szCs w:val="28"/>
        </w:rPr>
      </w:pPr>
      <w:r>
        <w:rPr>
          <w:rFonts w:hint="eastAsia" w:ascii="楷体" w:hAnsi="楷体" w:eastAsia="楷体" w:cs="楷体"/>
          <w:sz w:val="28"/>
          <w:szCs w:val="28"/>
        </w:rPr>
        <w:t>c-Kit是未来药物开发的合适靶点，用于治疗与c-Kit相关的多种人类恶性肿瘤。同样c-Kit下游肿瘤相关信号转导的一些机制尚不清楚，如c-Kit过表达的机制、c-Kit突变之间的相关性。并且由于病因多样性、发育不规律、表型不稳定、信号通路多等特点，造成单靶点药物治疗效果不理想，开发多靶点、低毒性的c-Kit药物是研究的趋势。</w:t>
      </w:r>
    </w:p>
    <w:p w14:paraId="6D7B28A3">
      <w:pPr>
        <w:rPr>
          <w:rFonts w:hint="eastAsia" w:ascii="楷体" w:hAnsi="楷体" w:eastAsia="楷体" w:cs="楷体"/>
          <w:sz w:val="28"/>
          <w:szCs w:val="28"/>
        </w:rPr>
      </w:pPr>
    </w:p>
    <w:p w14:paraId="6A4ABB11">
      <w:pPr>
        <w:rPr>
          <w:rFonts w:hint="eastAsia" w:ascii="楷体" w:hAnsi="楷体" w:eastAsia="楷体" w:cs="楷体"/>
          <w:sz w:val="28"/>
          <w:szCs w:val="28"/>
        </w:rPr>
      </w:pPr>
    </w:p>
    <w:p w14:paraId="75C0FCCC">
      <w:pPr>
        <w:pStyle w:val="3"/>
        <w:bidi w:val="0"/>
        <w:rPr>
          <w:rFonts w:hint="eastAsia" w:ascii="楷体" w:hAnsi="楷体" w:eastAsia="楷体" w:cs="楷体"/>
          <w:sz w:val="28"/>
          <w:szCs w:val="28"/>
        </w:rPr>
      </w:pPr>
      <w:r>
        <w:rPr>
          <w:rFonts w:hint="eastAsia" w:ascii="楷体" w:hAnsi="楷体" w:eastAsia="楷体" w:cs="楷体"/>
        </w:rPr>
        <w:t>✦义翘神州特色产品</w:t>
      </w:r>
    </w:p>
    <w:p w14:paraId="27BD7239">
      <w:pPr>
        <w:rPr>
          <w:rFonts w:hint="eastAsia" w:ascii="楷体" w:hAnsi="楷体" w:eastAsia="楷体" w:cs="楷体"/>
          <w:sz w:val="28"/>
          <w:szCs w:val="28"/>
        </w:rPr>
      </w:pPr>
      <w:r>
        <w:rPr>
          <w:rFonts w:hint="eastAsia" w:ascii="楷体" w:hAnsi="楷体" w:eastAsia="楷体" w:cs="楷体"/>
          <w:sz w:val="28"/>
          <w:szCs w:val="28"/>
        </w:rPr>
        <w:t>作为全球重组技术的领导者，义翘神州已开发了一系列重组蛋白、抗体和ELISA试剂盒，以支持c-Kit和其他RTKs（如EGFR、VEGFR、PDGFR、c-Met、TrkB、FGFR等）的癌症治疗研究。</w:t>
      </w:r>
    </w:p>
    <w:p w14:paraId="25339139">
      <w:pPr>
        <w:rPr>
          <w:rFonts w:hint="eastAsia" w:ascii="楷体" w:hAnsi="楷体" w:eastAsia="楷体" w:cs="楷体"/>
          <w:b/>
          <w:bCs/>
          <w:sz w:val="28"/>
          <w:szCs w:val="28"/>
        </w:rPr>
      </w:pPr>
      <w:r>
        <w:rPr>
          <w:rFonts w:hint="eastAsia" w:ascii="楷体" w:hAnsi="楷体" w:eastAsia="楷体" w:cs="楷体"/>
          <w:b/>
          <w:bCs/>
          <w:sz w:val="28"/>
          <w:szCs w:val="28"/>
        </w:rPr>
        <w:t>人 c-Kit 蛋白（HPLC验证，3篇文献）（货号：</w:t>
      </w:r>
      <w:r>
        <w:rPr>
          <w:rFonts w:hint="eastAsia" w:ascii="楷体" w:hAnsi="楷体" w:eastAsia="楷体" w:cs="楷体"/>
          <w:b/>
          <w:bCs/>
          <w:sz w:val="28"/>
          <w:szCs w:val="28"/>
          <w:u w:val="none"/>
        </w:rPr>
        <w:fldChar w:fldCharType="begin"/>
      </w:r>
      <w:r>
        <w:rPr>
          <w:rFonts w:hint="eastAsia" w:ascii="楷体" w:hAnsi="楷体" w:eastAsia="楷体" w:cs="楷体"/>
          <w:b/>
          <w:bCs/>
          <w:sz w:val="28"/>
          <w:szCs w:val="28"/>
          <w:u w:val="none"/>
        </w:rPr>
        <w:instrText xml:space="preserve"> HYPERLINK "https://cn.sinobiological.com/recombinant-proteins/human-c-kit-11996-h08h" </w:instrText>
      </w:r>
      <w:r>
        <w:rPr>
          <w:rFonts w:hint="eastAsia" w:ascii="楷体" w:hAnsi="楷体" w:eastAsia="楷体" w:cs="楷体"/>
          <w:b/>
          <w:bCs/>
          <w:sz w:val="28"/>
          <w:szCs w:val="28"/>
          <w:u w:val="none"/>
        </w:rPr>
        <w:fldChar w:fldCharType="separate"/>
      </w:r>
      <w:r>
        <w:rPr>
          <w:rStyle w:val="6"/>
          <w:rFonts w:hint="eastAsia" w:ascii="楷体" w:hAnsi="楷体" w:eastAsia="楷体" w:cs="楷体"/>
          <w:b/>
          <w:bCs/>
          <w:sz w:val="28"/>
          <w:szCs w:val="28"/>
          <w:u w:val="none"/>
        </w:rPr>
        <w:t>11996-H08H</w:t>
      </w:r>
      <w:r>
        <w:rPr>
          <w:rFonts w:hint="eastAsia" w:ascii="楷体" w:hAnsi="楷体" w:eastAsia="楷体" w:cs="楷体"/>
          <w:b/>
          <w:bCs/>
          <w:sz w:val="28"/>
          <w:szCs w:val="28"/>
          <w:u w:val="none"/>
        </w:rPr>
        <w:fldChar w:fldCharType="end"/>
      </w:r>
      <w:r>
        <w:rPr>
          <w:rFonts w:hint="eastAsia" w:ascii="楷体" w:hAnsi="楷体" w:eastAsia="楷体" w:cs="楷体"/>
          <w:b/>
          <w:bCs/>
          <w:sz w:val="28"/>
          <w:szCs w:val="28"/>
        </w:rPr>
        <w:t>）</w:t>
      </w:r>
    </w:p>
    <w:p w14:paraId="6D7FA238">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273040" cy="4060190"/>
            <wp:effectExtent l="0" t="0" r="3810" b="16510"/>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5"/>
                    <a:stretch>
                      <a:fillRect/>
                    </a:stretch>
                  </pic:blipFill>
                  <pic:spPr>
                    <a:xfrm>
                      <a:off x="0" y="0"/>
                      <a:ext cx="5273040" cy="4060190"/>
                    </a:xfrm>
                    <a:prstGeom prst="rect">
                      <a:avLst/>
                    </a:prstGeom>
                  </pic:spPr>
                </pic:pic>
              </a:graphicData>
            </a:graphic>
          </wp:inline>
        </w:drawing>
      </w:r>
    </w:p>
    <w:p w14:paraId="6E8A627E">
      <w:pPr>
        <w:rPr>
          <w:rFonts w:hint="eastAsia" w:ascii="楷体" w:hAnsi="楷体" w:eastAsia="楷体" w:cs="楷体"/>
          <w:sz w:val="24"/>
          <w:szCs w:val="24"/>
        </w:rPr>
      </w:pPr>
      <w:r>
        <w:rPr>
          <w:rFonts w:hint="eastAsia" w:ascii="楷体" w:hAnsi="楷体" w:eastAsia="楷体" w:cs="楷体"/>
          <w:sz w:val="24"/>
          <w:szCs w:val="24"/>
        </w:rPr>
        <w:t>Immobilized human c-Kit protein can bind human SCF/c-kit ligand protein (Cat#: 10451-H08B).</w:t>
      </w:r>
    </w:p>
    <w:p w14:paraId="12353218">
      <w:pPr>
        <w:rPr>
          <w:rFonts w:hint="eastAsia" w:ascii="楷体" w:hAnsi="楷体" w:eastAsia="楷体" w:cs="楷体"/>
          <w:sz w:val="28"/>
          <w:szCs w:val="28"/>
        </w:rPr>
      </w:pPr>
    </w:p>
    <w:p w14:paraId="02EE80F7">
      <w:pPr>
        <w:rPr>
          <w:rFonts w:hint="eastAsia" w:ascii="楷体" w:hAnsi="楷体" w:eastAsia="楷体" w:cs="楷体"/>
          <w:b/>
          <w:bCs/>
          <w:sz w:val="28"/>
          <w:szCs w:val="28"/>
        </w:rPr>
      </w:pPr>
      <w:r>
        <w:rPr>
          <w:rFonts w:hint="eastAsia" w:ascii="楷体" w:hAnsi="楷体" w:eastAsia="楷体" w:cs="楷体"/>
          <w:b/>
          <w:bCs/>
          <w:sz w:val="28"/>
          <w:szCs w:val="28"/>
        </w:rPr>
        <w:t>人SCF 蛋白（2篇文献）（货号：</w:t>
      </w:r>
      <w:r>
        <w:rPr>
          <w:rFonts w:hint="eastAsia" w:ascii="楷体" w:hAnsi="楷体" w:eastAsia="楷体" w:cs="楷体"/>
          <w:b/>
          <w:bCs/>
          <w:sz w:val="28"/>
          <w:szCs w:val="28"/>
          <w:u w:val="none"/>
        </w:rPr>
        <w:fldChar w:fldCharType="begin"/>
      </w:r>
      <w:r>
        <w:rPr>
          <w:rFonts w:hint="eastAsia" w:ascii="楷体" w:hAnsi="楷体" w:eastAsia="楷体" w:cs="楷体"/>
          <w:b/>
          <w:bCs/>
          <w:sz w:val="28"/>
          <w:szCs w:val="28"/>
          <w:u w:val="none"/>
        </w:rPr>
        <w:instrText xml:space="preserve"> HYPERLINK "https://cn.sinobiological.com/recombinant-proteins/human-scf-10451-h08b" </w:instrText>
      </w:r>
      <w:r>
        <w:rPr>
          <w:rFonts w:hint="eastAsia" w:ascii="楷体" w:hAnsi="楷体" w:eastAsia="楷体" w:cs="楷体"/>
          <w:b/>
          <w:bCs/>
          <w:sz w:val="28"/>
          <w:szCs w:val="28"/>
          <w:u w:val="none"/>
        </w:rPr>
        <w:fldChar w:fldCharType="separate"/>
      </w:r>
      <w:r>
        <w:rPr>
          <w:rStyle w:val="6"/>
          <w:rFonts w:hint="eastAsia" w:ascii="楷体" w:hAnsi="楷体" w:eastAsia="楷体" w:cs="楷体"/>
          <w:b/>
          <w:bCs/>
          <w:sz w:val="28"/>
          <w:szCs w:val="28"/>
          <w:u w:val="none"/>
        </w:rPr>
        <w:t>10451-H08B</w:t>
      </w:r>
      <w:r>
        <w:rPr>
          <w:rFonts w:hint="eastAsia" w:ascii="楷体" w:hAnsi="楷体" w:eastAsia="楷体" w:cs="楷体"/>
          <w:b/>
          <w:bCs/>
          <w:sz w:val="28"/>
          <w:szCs w:val="28"/>
          <w:u w:val="none"/>
        </w:rPr>
        <w:fldChar w:fldCharType="end"/>
      </w:r>
      <w:r>
        <w:rPr>
          <w:rFonts w:hint="eastAsia" w:ascii="楷体" w:hAnsi="楷体" w:eastAsia="楷体" w:cs="楷体"/>
          <w:b/>
          <w:bCs/>
          <w:sz w:val="28"/>
          <w:szCs w:val="28"/>
        </w:rPr>
        <w:t xml:space="preserve"> ）</w:t>
      </w:r>
    </w:p>
    <w:p w14:paraId="720348EC">
      <w:pPr>
        <w:jc w:val="center"/>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drawing>
          <wp:inline distT="0" distB="0" distL="114300" distR="114300">
            <wp:extent cx="5273040" cy="4060190"/>
            <wp:effectExtent l="0" t="0" r="3810" b="16510"/>
            <wp:docPr id="3"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
                    <pic:cNvPicPr>
                      <a:picLocks noChangeAspect="1"/>
                    </pic:cNvPicPr>
                  </pic:nvPicPr>
                  <pic:blipFill>
                    <a:blip r:embed="rId6"/>
                    <a:stretch>
                      <a:fillRect/>
                    </a:stretch>
                  </pic:blipFill>
                  <pic:spPr>
                    <a:xfrm>
                      <a:off x="0" y="0"/>
                      <a:ext cx="5273040" cy="4060190"/>
                    </a:xfrm>
                    <a:prstGeom prst="rect">
                      <a:avLst/>
                    </a:prstGeom>
                  </pic:spPr>
                </pic:pic>
              </a:graphicData>
            </a:graphic>
          </wp:inline>
        </w:drawing>
      </w:r>
    </w:p>
    <w:p w14:paraId="12922A77">
      <w:pPr>
        <w:rPr>
          <w:rFonts w:hint="eastAsia" w:ascii="楷体" w:hAnsi="楷体" w:eastAsia="楷体" w:cs="楷体"/>
          <w:sz w:val="24"/>
          <w:szCs w:val="24"/>
        </w:rPr>
      </w:pPr>
      <w:r>
        <w:rPr>
          <w:rFonts w:hint="eastAsia" w:ascii="楷体" w:hAnsi="楷体" w:eastAsia="楷体" w:cs="楷体"/>
          <w:sz w:val="24"/>
          <w:szCs w:val="24"/>
        </w:rPr>
        <w:t>Measured in a cell proliferation assay using TF-1 human erythroleukemic cells.</w:t>
      </w:r>
    </w:p>
    <w:p w14:paraId="32BAB6A3">
      <w:pPr>
        <w:rPr>
          <w:rFonts w:hint="eastAsia" w:ascii="楷体" w:hAnsi="楷体" w:eastAsia="楷体" w:cs="楷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汉仪中黑 197">
    <w:panose1 w:val="00020600040101010101"/>
    <w:charset w:val="86"/>
    <w:family w:val="auto"/>
    <w:pitch w:val="default"/>
    <w:sig w:usb0="A00002BF" w:usb1="18EF7CFA" w:usb2="00000016"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1YTA5Y2Y5Y2I0NzU2ZDExMmM5ZWY5YTU1YWU0MjAifQ=="/>
  </w:docVars>
  <w:rsids>
    <w:rsidRoot w:val="0F2D2B41"/>
    <w:rsid w:val="0F2D2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8</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2024-11-20T03:00:00Z</dcterms:created>
  <dc:creator>忘了天空的颜色</dc:creator>
  <cp:lastModifiedBy>忘了天空的颜色</cp:lastModifiedBy>
  <dcterms:modified xsi:type="dcterms:W3CDTF">2024-11-20T03:08:37Z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BD941AA6FAC84BEA866C9BD31FD28849_11</vt:lpwstr>
  </property>
</Properties>
</file>