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F93" w:rsidRDefault="00814F93" w:rsidP="00814F93">
      <w:pPr>
        <w:shd w:val="clear" w:color="auto" w:fill="FFFFFF"/>
        <w:rPr>
          <w:rFonts w:ascii="Calibri" w:hAnsi="Calibri"/>
          <w:color w:val="333333"/>
          <w:sz w:val="18"/>
          <w:szCs w:val="18"/>
        </w:rPr>
      </w:pPr>
      <w:r>
        <w:rPr>
          <w:rFonts w:hint="eastAsia"/>
          <w:b/>
          <w:bCs/>
          <w:color w:val="333333"/>
          <w:sz w:val="18"/>
          <w:szCs w:val="18"/>
        </w:rPr>
        <w:t>【重点】研究全球与中国</w:t>
      </w:r>
      <w:r w:rsidR="000D7A22">
        <w:rPr>
          <w:rFonts w:ascii="Calibri" w:hAnsi="Calibri"/>
          <w:b/>
          <w:bCs/>
          <w:color w:val="333333"/>
          <w:sz w:val="18"/>
          <w:szCs w:val="18"/>
        </w:rPr>
        <w:t>生物陶瓷和羟基磷灰石</w:t>
      </w:r>
      <w:r>
        <w:rPr>
          <w:rFonts w:hint="eastAsia"/>
          <w:b/>
          <w:bCs/>
          <w:color w:val="333333"/>
          <w:sz w:val="18"/>
          <w:szCs w:val="18"/>
        </w:rPr>
        <w:t>市场主要厂商产品规格、价格、销量销售收入，市场份额，行业政策，产业链，生产模式，销售模式及未来趋势。</w:t>
      </w:r>
    </w:p>
    <w:p w:rsidR="00814F93" w:rsidRDefault="00814F93" w:rsidP="008544C7">
      <w:pPr>
        <w:shd w:val="clear" w:color="auto" w:fill="FFFFFF"/>
        <w:rPr>
          <w:rFonts w:ascii="Calibri" w:hAnsi="Calibri" w:hint="eastAsia"/>
          <w:b/>
          <w:bCs/>
          <w:color w:val="333333"/>
          <w:sz w:val="18"/>
          <w:szCs w:val="18"/>
        </w:rPr>
      </w:pPr>
    </w:p>
    <w:p w:rsidR="008544C7" w:rsidRDefault="000D7A22" w:rsidP="008544C7">
      <w:pPr>
        <w:shd w:val="clear" w:color="auto" w:fill="FFFFFF"/>
        <w:rPr>
          <w:rFonts w:ascii="Calibri" w:hAnsi="Calibri"/>
          <w:color w:val="333333"/>
          <w:sz w:val="18"/>
          <w:szCs w:val="18"/>
        </w:rPr>
      </w:pPr>
      <w:r>
        <w:rPr>
          <w:rFonts w:ascii="Calibri" w:hAnsi="Calibri"/>
          <w:b/>
          <w:bCs/>
          <w:color w:val="333333"/>
          <w:sz w:val="18"/>
          <w:szCs w:val="18"/>
        </w:rPr>
        <w:t>生物陶瓷和羟基磷灰石</w:t>
      </w:r>
      <w:r w:rsidR="008544C7">
        <w:rPr>
          <w:rFonts w:ascii="Calibri" w:hAnsi="Calibri"/>
          <w:b/>
          <w:bCs/>
          <w:color w:val="333333"/>
          <w:sz w:val="18"/>
          <w:szCs w:val="18"/>
        </w:rPr>
        <w:t>市场</w:t>
      </w:r>
      <w:r w:rsidR="008544C7">
        <w:rPr>
          <w:rFonts w:hint="eastAsia"/>
          <w:b/>
          <w:bCs/>
          <w:color w:val="333333"/>
          <w:sz w:val="18"/>
          <w:szCs w:val="18"/>
        </w:rPr>
        <w:t>报告主要研究：</w:t>
      </w:r>
    </w:p>
    <w:p w:rsidR="008544C7" w:rsidRDefault="000D7A22" w:rsidP="008544C7">
      <w:pPr>
        <w:shd w:val="clear" w:color="auto" w:fill="FFFFFF"/>
        <w:rPr>
          <w:rFonts w:ascii="Calibri" w:hAnsi="Calibri"/>
          <w:color w:val="333333"/>
          <w:sz w:val="18"/>
          <w:szCs w:val="18"/>
        </w:rPr>
      </w:pPr>
      <w:r>
        <w:rPr>
          <w:rFonts w:ascii="Calibri" w:hAnsi="Calibri"/>
          <w:color w:val="333333"/>
          <w:sz w:val="18"/>
          <w:szCs w:val="18"/>
        </w:rPr>
        <w:t>生物陶瓷和羟基磷灰石</w:t>
      </w:r>
      <w:r w:rsidR="008544C7">
        <w:rPr>
          <w:rFonts w:ascii="Calibri" w:hAnsi="Calibri"/>
          <w:color w:val="333333"/>
          <w:sz w:val="18"/>
          <w:szCs w:val="18"/>
        </w:rPr>
        <w:t>市场规模：</w:t>
      </w:r>
      <w:r w:rsidR="008544C7">
        <w:rPr>
          <w:rFonts w:ascii="Calibri" w:hAnsi="Calibri"/>
          <w:color w:val="333333"/>
          <w:sz w:val="18"/>
          <w:szCs w:val="18"/>
        </w:rPr>
        <w:t xml:space="preserve"> </w:t>
      </w:r>
      <w:r w:rsidR="008544C7">
        <w:rPr>
          <w:rFonts w:ascii="Calibri" w:hAnsi="Calibri"/>
          <w:color w:val="333333"/>
          <w:sz w:val="18"/>
          <w:szCs w:val="18"/>
        </w:rPr>
        <w:t>产能、产量、销售、产值、价格、成本、利润等</w:t>
      </w:r>
    </w:p>
    <w:p w:rsidR="00814F93" w:rsidRDefault="000D7A22" w:rsidP="00814F93">
      <w:pPr>
        <w:shd w:val="clear" w:color="auto" w:fill="FFFFFF"/>
        <w:rPr>
          <w:rFonts w:ascii="Calibri" w:hAnsi="Calibri" w:hint="eastAsia"/>
          <w:color w:val="333333"/>
          <w:sz w:val="18"/>
          <w:szCs w:val="18"/>
        </w:rPr>
      </w:pPr>
      <w:r>
        <w:rPr>
          <w:rFonts w:ascii="Calibri" w:hAnsi="Calibri"/>
          <w:color w:val="333333"/>
          <w:sz w:val="18"/>
          <w:szCs w:val="18"/>
        </w:rPr>
        <w:t>生物陶瓷和羟基磷灰石</w:t>
      </w:r>
      <w:r w:rsidR="008544C7">
        <w:rPr>
          <w:rFonts w:ascii="Calibri" w:hAnsi="Calibri"/>
          <w:color w:val="333333"/>
          <w:sz w:val="18"/>
          <w:szCs w:val="18"/>
        </w:rPr>
        <w:t>行业竞争分析：原材料、市场应用、产品种类、市场需求、市场供给，下游市场分析、供应链分析、主要企业情况、市场份额、并购、扩张等</w:t>
      </w:r>
    </w:p>
    <w:p w:rsidR="00814F93" w:rsidRDefault="00814F93" w:rsidP="00814F93">
      <w:pPr>
        <w:shd w:val="clear" w:color="auto" w:fill="FFFFFF"/>
        <w:rPr>
          <w:rFonts w:ascii="Calibri" w:hAnsi="Calibri" w:hint="eastAsia"/>
          <w:color w:val="333333"/>
          <w:sz w:val="18"/>
          <w:szCs w:val="18"/>
        </w:rPr>
      </w:pPr>
    </w:p>
    <w:p w:rsidR="000D7A22" w:rsidRPr="000D7A22" w:rsidRDefault="000D7A22" w:rsidP="000D7A22">
      <w:pPr>
        <w:shd w:val="clear" w:color="auto" w:fill="FFFFFF"/>
        <w:rPr>
          <w:rFonts w:ascii="Calibri" w:hAnsi="Calibri"/>
          <w:color w:val="333333"/>
          <w:sz w:val="18"/>
          <w:szCs w:val="18"/>
        </w:rPr>
      </w:pPr>
      <w:r w:rsidRPr="000D7A22">
        <w:rPr>
          <w:rFonts w:ascii="Calibri" w:hAnsi="Calibri" w:hint="eastAsia"/>
          <w:color w:val="333333"/>
          <w:sz w:val="18"/>
          <w:szCs w:val="18"/>
        </w:rPr>
        <w:t>生物陶瓷和羟基磷灰石是两类不同的生物材料，它们在医学和生物学领域有着广泛的应用。</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生物陶瓷，或称为生物医用陶瓷，是一类用于修复和替换人体内部硬组织（如骨和牙齿）的医用材料。这些材料通常具有良好的生物相容性，能够在人体内保持稳定，不产生有害反应。</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羟基磷灰石（</w:t>
      </w:r>
      <w:r w:rsidRPr="000D7A22">
        <w:rPr>
          <w:rFonts w:ascii="Calibri" w:hAnsi="Calibri" w:hint="eastAsia"/>
          <w:color w:val="333333"/>
          <w:sz w:val="18"/>
          <w:szCs w:val="18"/>
        </w:rPr>
        <w:t>HAP</w:t>
      </w:r>
      <w:r w:rsidRPr="000D7A22">
        <w:rPr>
          <w:rFonts w:ascii="Calibri" w:hAnsi="Calibri" w:hint="eastAsia"/>
          <w:color w:val="333333"/>
          <w:sz w:val="18"/>
          <w:szCs w:val="18"/>
        </w:rPr>
        <w:t>），是生物陶瓷中重要的一类材料，其化学成分与人体的骨骼非常相似，因此具有优良的生物活性和骨诱导性。羟基磷灰石能够与人体骨骼形成紧密的结合，支持骨细胞的生长和繁殖。</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生物陶瓷根据其在生理环境中的化学活性，可以分为三类：近于惰性的生物陶瓷、表面活性生物陶瓷以及可吸收生物陶瓷。羟基磷灰石作为一种表面活性生物陶瓷，可以在生理环境中通过表面的生物化学反应与组织形成化学键结合。</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羟基磷灰石除了在组成上与骨骼类似外，还具有多孔结构和较高的机械强度，这使得它成为理想的骨组织工程材料。多孔结构有助于骨组织的长入，而机械强度则保证了材料在承担生理负荷时的稳定性。</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羟基磷灰石的制备方法多样，包括湿法合成、水热合成、溶胶</w:t>
      </w:r>
      <w:r w:rsidRPr="000D7A22">
        <w:rPr>
          <w:rFonts w:ascii="Calibri" w:hAnsi="Calibri" w:hint="eastAsia"/>
          <w:color w:val="333333"/>
          <w:sz w:val="18"/>
          <w:szCs w:val="18"/>
        </w:rPr>
        <w:t>-</w:t>
      </w:r>
      <w:r w:rsidRPr="000D7A22">
        <w:rPr>
          <w:rFonts w:ascii="Calibri" w:hAnsi="Calibri" w:hint="eastAsia"/>
          <w:color w:val="333333"/>
          <w:sz w:val="18"/>
          <w:szCs w:val="18"/>
        </w:rPr>
        <w:t>凝胶法等。这些方法可以控制</w:t>
      </w:r>
      <w:r w:rsidRPr="000D7A22">
        <w:rPr>
          <w:rFonts w:ascii="Calibri" w:hAnsi="Calibri" w:hint="eastAsia"/>
          <w:color w:val="333333"/>
          <w:sz w:val="18"/>
          <w:szCs w:val="18"/>
        </w:rPr>
        <w:t>HAP</w:t>
      </w:r>
      <w:r w:rsidRPr="000D7A22">
        <w:rPr>
          <w:rFonts w:ascii="Calibri" w:hAnsi="Calibri" w:hint="eastAsia"/>
          <w:color w:val="333333"/>
          <w:sz w:val="18"/>
          <w:szCs w:val="18"/>
        </w:rPr>
        <w:t>的粒度、形态和化学纯度，从而满足不同的应用需求。例如，纳米级</w:t>
      </w:r>
      <w:r w:rsidRPr="000D7A22">
        <w:rPr>
          <w:rFonts w:ascii="Calibri" w:hAnsi="Calibri" w:hint="eastAsia"/>
          <w:color w:val="333333"/>
          <w:sz w:val="18"/>
          <w:szCs w:val="18"/>
        </w:rPr>
        <w:t>HAP</w:t>
      </w:r>
      <w:r w:rsidRPr="000D7A22">
        <w:rPr>
          <w:rFonts w:ascii="Calibri" w:hAnsi="Calibri" w:hint="eastAsia"/>
          <w:color w:val="333333"/>
          <w:sz w:val="18"/>
          <w:szCs w:val="18"/>
        </w:rPr>
        <w:t>因其具有更大的表面积而被广泛用于药物载体和生物标记。</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尽管羟基磷灰石具有良好的生物活性，但其在生理环境中的降解速度较慢，这在一定程度上限制了其在临床上的应用。当前研究正在探索通过掺杂其他元素或制造复合材料来改善其降解性和生物功能性。</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总的说来，生物陶瓷和羟基磷灰石作为生物医用材料，在提高患者生活质量和促进医疗技术进步方面起到了不可忽视的作用。未来，随着材料科学和生物工程的进一步发展，这些材料的应用将更加广泛，为临床提供更多高效、安全的治疗选择。</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2023</w:t>
      </w:r>
      <w:r w:rsidRPr="000D7A22">
        <w:rPr>
          <w:rFonts w:ascii="Calibri" w:hAnsi="Calibri" w:hint="eastAsia"/>
          <w:color w:val="333333"/>
          <w:sz w:val="18"/>
          <w:szCs w:val="18"/>
        </w:rPr>
        <w:t>年全球生物陶瓷和羟基磷灰石市场销售额达到了</w:t>
      </w:r>
      <w:r w:rsidRPr="000D7A22">
        <w:rPr>
          <w:rFonts w:ascii="Calibri" w:hAnsi="Calibri" w:hint="eastAsia"/>
          <w:color w:val="333333"/>
          <w:sz w:val="18"/>
          <w:szCs w:val="18"/>
        </w:rPr>
        <w:t>5.2</w:t>
      </w:r>
      <w:r w:rsidRPr="000D7A22">
        <w:rPr>
          <w:rFonts w:ascii="Calibri" w:hAnsi="Calibri" w:hint="eastAsia"/>
          <w:color w:val="333333"/>
          <w:sz w:val="18"/>
          <w:szCs w:val="18"/>
        </w:rPr>
        <w:t>亿美元，预计</w:t>
      </w:r>
      <w:r w:rsidRPr="000D7A22">
        <w:rPr>
          <w:rFonts w:ascii="Calibri" w:hAnsi="Calibri" w:hint="eastAsia"/>
          <w:color w:val="333333"/>
          <w:sz w:val="18"/>
          <w:szCs w:val="18"/>
        </w:rPr>
        <w:t>2030</w:t>
      </w:r>
      <w:r w:rsidRPr="000D7A22">
        <w:rPr>
          <w:rFonts w:ascii="Calibri" w:hAnsi="Calibri" w:hint="eastAsia"/>
          <w:color w:val="333333"/>
          <w:sz w:val="18"/>
          <w:szCs w:val="18"/>
        </w:rPr>
        <w:t>年将达到</w:t>
      </w:r>
      <w:r w:rsidRPr="000D7A22">
        <w:rPr>
          <w:rFonts w:ascii="Calibri" w:hAnsi="Calibri" w:hint="eastAsia"/>
          <w:color w:val="333333"/>
          <w:sz w:val="18"/>
          <w:szCs w:val="18"/>
        </w:rPr>
        <w:t>8.77</w:t>
      </w:r>
      <w:r w:rsidRPr="000D7A22">
        <w:rPr>
          <w:rFonts w:ascii="Calibri" w:hAnsi="Calibri" w:hint="eastAsia"/>
          <w:color w:val="333333"/>
          <w:sz w:val="18"/>
          <w:szCs w:val="18"/>
        </w:rPr>
        <w:t>亿美元，年复合增长率（</w:t>
      </w:r>
      <w:r w:rsidRPr="000D7A22">
        <w:rPr>
          <w:rFonts w:ascii="Calibri" w:hAnsi="Calibri" w:hint="eastAsia"/>
          <w:color w:val="333333"/>
          <w:sz w:val="18"/>
          <w:szCs w:val="18"/>
        </w:rPr>
        <w:t>CAGR</w:t>
      </w:r>
      <w:r w:rsidRPr="000D7A22">
        <w:rPr>
          <w:rFonts w:ascii="Calibri" w:hAnsi="Calibri" w:hint="eastAsia"/>
          <w:color w:val="333333"/>
          <w:sz w:val="18"/>
          <w:szCs w:val="18"/>
        </w:rPr>
        <w:t>）为</w:t>
      </w:r>
      <w:r w:rsidRPr="000D7A22">
        <w:rPr>
          <w:rFonts w:ascii="Calibri" w:hAnsi="Calibri" w:hint="eastAsia"/>
          <w:color w:val="333333"/>
          <w:sz w:val="18"/>
          <w:szCs w:val="18"/>
        </w:rPr>
        <w:t>7.8%</w:t>
      </w:r>
      <w:r w:rsidRPr="000D7A22">
        <w:rPr>
          <w:rFonts w:ascii="Calibri" w:hAnsi="Calibri" w:hint="eastAsia"/>
          <w:color w:val="333333"/>
          <w:sz w:val="18"/>
          <w:szCs w:val="18"/>
        </w:rPr>
        <w:t>（</w:t>
      </w:r>
      <w:r w:rsidRPr="000D7A22">
        <w:rPr>
          <w:rFonts w:ascii="Calibri" w:hAnsi="Calibri" w:hint="eastAsia"/>
          <w:color w:val="333333"/>
          <w:sz w:val="18"/>
          <w:szCs w:val="18"/>
        </w:rPr>
        <w:t>2024-2030</w:t>
      </w:r>
      <w:r w:rsidRPr="000D7A22">
        <w:rPr>
          <w:rFonts w:ascii="Calibri" w:hAnsi="Calibri" w:hint="eastAsia"/>
          <w:color w:val="333333"/>
          <w:sz w:val="18"/>
          <w:szCs w:val="18"/>
        </w:rPr>
        <w:t>）。</w:t>
      </w:r>
    </w:p>
    <w:p w:rsidR="000D7A22" w:rsidRPr="000D7A22" w:rsidRDefault="000D7A22" w:rsidP="000D7A22">
      <w:pPr>
        <w:shd w:val="clear" w:color="auto" w:fill="FFFFFF"/>
        <w:rPr>
          <w:rFonts w:ascii="Calibri" w:hAnsi="Calibri" w:hint="eastAsia"/>
          <w:color w:val="333333"/>
          <w:sz w:val="18"/>
          <w:szCs w:val="18"/>
        </w:rPr>
      </w:pPr>
      <w:r w:rsidRPr="000D7A22">
        <w:rPr>
          <w:rFonts w:ascii="Calibri" w:hAnsi="Calibri" w:hint="eastAsia"/>
          <w:color w:val="333333"/>
          <w:sz w:val="18"/>
          <w:szCs w:val="18"/>
        </w:rPr>
        <w:t>生物陶瓷和羟基磷灰石（</w:t>
      </w:r>
      <w:r w:rsidRPr="000D7A22">
        <w:rPr>
          <w:rFonts w:ascii="Calibri" w:hAnsi="Calibri" w:hint="eastAsia"/>
          <w:color w:val="333333"/>
          <w:sz w:val="18"/>
          <w:szCs w:val="18"/>
        </w:rPr>
        <w:t>Bioceramics and Hydroxyapatite</w:t>
      </w:r>
      <w:r w:rsidRPr="000D7A22">
        <w:rPr>
          <w:rFonts w:ascii="Calibri" w:hAnsi="Calibri" w:hint="eastAsia"/>
          <w:color w:val="333333"/>
          <w:sz w:val="18"/>
          <w:szCs w:val="18"/>
        </w:rPr>
        <w:t>）全球核心厂商包括国瓷材料、</w:t>
      </w:r>
      <w:r w:rsidRPr="000D7A22">
        <w:rPr>
          <w:rFonts w:ascii="Calibri" w:hAnsi="Calibri" w:hint="eastAsia"/>
          <w:color w:val="333333"/>
          <w:sz w:val="18"/>
          <w:szCs w:val="18"/>
        </w:rPr>
        <w:t>CAM Bioceramics</w:t>
      </w:r>
      <w:r w:rsidRPr="000D7A22">
        <w:rPr>
          <w:rFonts w:ascii="Calibri" w:hAnsi="Calibri" w:hint="eastAsia"/>
          <w:color w:val="333333"/>
          <w:sz w:val="18"/>
          <w:szCs w:val="18"/>
        </w:rPr>
        <w:t>、东曹、</w:t>
      </w:r>
      <w:r w:rsidRPr="000D7A22">
        <w:rPr>
          <w:rFonts w:ascii="Calibri" w:hAnsi="Calibri" w:hint="eastAsia"/>
          <w:color w:val="333333"/>
          <w:sz w:val="18"/>
          <w:szCs w:val="18"/>
        </w:rPr>
        <w:t>Daiichi Kigenso Kagaku Kogyo (DKK)</w:t>
      </w:r>
      <w:r w:rsidRPr="000D7A22">
        <w:rPr>
          <w:rFonts w:ascii="Calibri" w:hAnsi="Calibri" w:hint="eastAsia"/>
          <w:color w:val="333333"/>
          <w:sz w:val="18"/>
          <w:szCs w:val="18"/>
        </w:rPr>
        <w:t>和京瓷。亚太是最大的消费地区，占有全球市场大约</w:t>
      </w:r>
      <w:r w:rsidRPr="000D7A22">
        <w:rPr>
          <w:rFonts w:ascii="Calibri" w:hAnsi="Calibri" w:hint="eastAsia"/>
          <w:color w:val="333333"/>
          <w:sz w:val="18"/>
          <w:szCs w:val="18"/>
        </w:rPr>
        <w:t>36%</w:t>
      </w:r>
      <w:r w:rsidRPr="000D7A22">
        <w:rPr>
          <w:rFonts w:ascii="Calibri" w:hAnsi="Calibri" w:hint="eastAsia"/>
          <w:color w:val="333333"/>
          <w:sz w:val="18"/>
          <w:szCs w:val="18"/>
        </w:rPr>
        <w:t>的份额，其次是北美。就产品类型而言，氧化锆是最大的细分市场，份额超过</w:t>
      </w:r>
      <w:r w:rsidRPr="000D7A22">
        <w:rPr>
          <w:rFonts w:ascii="Calibri" w:hAnsi="Calibri" w:hint="eastAsia"/>
          <w:color w:val="333333"/>
          <w:sz w:val="18"/>
          <w:szCs w:val="18"/>
        </w:rPr>
        <w:t>45%</w:t>
      </w:r>
      <w:r w:rsidRPr="000D7A22">
        <w:rPr>
          <w:rFonts w:ascii="Calibri" w:hAnsi="Calibri" w:hint="eastAsia"/>
          <w:color w:val="333333"/>
          <w:sz w:val="18"/>
          <w:szCs w:val="18"/>
        </w:rPr>
        <w:t>。就应用而言，最大的应用是骨科，份额大约为</w:t>
      </w:r>
      <w:r w:rsidRPr="000D7A22">
        <w:rPr>
          <w:rFonts w:ascii="Calibri" w:hAnsi="Calibri" w:hint="eastAsia"/>
          <w:color w:val="333333"/>
          <w:sz w:val="18"/>
          <w:szCs w:val="18"/>
        </w:rPr>
        <w:t>58%</w:t>
      </w:r>
      <w:r w:rsidRPr="000D7A22">
        <w:rPr>
          <w:rFonts w:ascii="Calibri" w:hAnsi="Calibri" w:hint="eastAsia"/>
          <w:color w:val="333333"/>
          <w:sz w:val="18"/>
          <w:szCs w:val="18"/>
        </w:rPr>
        <w:t>。</w:t>
      </w:r>
    </w:p>
    <w:p w:rsidR="00814F93" w:rsidRPr="00814F93" w:rsidRDefault="00814F93" w:rsidP="00814F93">
      <w:pPr>
        <w:shd w:val="clear" w:color="auto" w:fill="FFFFFF"/>
        <w:rPr>
          <w:rFonts w:ascii="Calibri" w:hAnsi="Calibri" w:hint="eastAsia"/>
          <w:b/>
          <w:color w:val="333333"/>
          <w:sz w:val="18"/>
          <w:szCs w:val="18"/>
        </w:rPr>
      </w:pPr>
      <w:r w:rsidRPr="00814F93">
        <w:rPr>
          <w:rFonts w:ascii="Calibri" w:hAnsi="Calibri" w:hint="eastAsia"/>
          <w:b/>
          <w:color w:val="333333"/>
          <w:sz w:val="18"/>
          <w:szCs w:val="18"/>
        </w:rPr>
        <w:t>（</w:t>
      </w:r>
      <w:r w:rsidRPr="00814F93">
        <w:rPr>
          <w:rFonts w:ascii="Calibri" w:hAnsi="Calibri" w:hint="eastAsia"/>
          <w:b/>
          <w:color w:val="333333"/>
          <w:sz w:val="18"/>
          <w:szCs w:val="18"/>
        </w:rPr>
        <w:t>Win Market Research</w:t>
      </w:r>
      <w:r w:rsidRPr="00814F93">
        <w:rPr>
          <w:rFonts w:ascii="Calibri" w:hAnsi="Calibri" w:hint="eastAsia"/>
          <w:b/>
          <w:color w:val="333333"/>
          <w:sz w:val="18"/>
          <w:szCs w:val="18"/>
        </w:rPr>
        <w:t>）辰宇信息</w:t>
      </w:r>
    </w:p>
    <w:p w:rsidR="000B429F" w:rsidRDefault="00814F93" w:rsidP="00814F93">
      <w:pPr>
        <w:shd w:val="clear" w:color="auto" w:fill="FFFFFF"/>
      </w:pPr>
      <w:r>
        <w:rPr>
          <w:rFonts w:hint="eastAsia"/>
        </w:rPr>
        <w:t>报告</w:t>
      </w:r>
      <w:r w:rsidR="005141CD">
        <w:t>分析</w:t>
      </w:r>
      <w:r w:rsidR="000D7A22">
        <w:rPr>
          <w:rFonts w:hint="eastAsia"/>
        </w:rPr>
        <w:t>生物陶瓷和羟基磷灰石</w:t>
      </w:r>
      <w:r w:rsidR="005141CD">
        <w:t>行业竞争格局，包括全球市场主要厂商竞争格局和中国本土市场主要厂商竞争格局，重点分析全球主要厂商</w:t>
      </w:r>
      <w:r w:rsidR="000D7A22">
        <w:rPr>
          <w:rFonts w:hint="eastAsia"/>
        </w:rPr>
        <w:t>生物陶瓷和羟基磷灰石</w:t>
      </w:r>
      <w:r w:rsidR="005141CD">
        <w:t>产能、销量、收入、价格和市场份额，全球</w:t>
      </w:r>
      <w:r w:rsidR="000D7A22">
        <w:rPr>
          <w:rFonts w:hint="eastAsia"/>
        </w:rPr>
        <w:t>生物陶瓷和羟基磷灰石</w:t>
      </w:r>
      <w:r w:rsidR="005141CD">
        <w:t>产地分布情况、中国</w:t>
      </w:r>
      <w:r w:rsidR="000D7A22">
        <w:rPr>
          <w:rFonts w:hint="eastAsia"/>
        </w:rPr>
        <w:t>生物陶瓷和羟基磷灰石</w:t>
      </w:r>
      <w:r w:rsidR="005141CD">
        <w:t>进出口情况以及行业并购情况等。</w:t>
      </w:r>
      <w:r w:rsidRPr="008D6564">
        <w:rPr>
          <w:rFonts w:hint="eastAsia"/>
        </w:rPr>
        <w:t>如果您有兴趣了解详情，薇</w:t>
      </w:r>
      <w:r>
        <w:rPr>
          <w:rFonts w:hint="eastAsia"/>
        </w:rPr>
        <w:t xml:space="preserve"> </w:t>
      </w:r>
      <w:r w:rsidRPr="008D6564">
        <w:rPr>
          <w:rFonts w:hint="eastAsia"/>
        </w:rPr>
        <w:t xml:space="preserve">joie  </w:t>
      </w:r>
      <w:r w:rsidRPr="008D6564">
        <w:rPr>
          <w:rFonts w:hint="eastAsia"/>
        </w:rPr>
        <w:t>：</w:t>
      </w:r>
      <w:r w:rsidRPr="008D6564">
        <w:rPr>
          <w:rFonts w:hint="eastAsia"/>
        </w:rPr>
        <w:t xml:space="preserve">chenyu-joie   </w:t>
      </w:r>
      <w:r w:rsidRPr="008D6564">
        <w:rPr>
          <w:rFonts w:hint="eastAsia"/>
        </w:rPr>
        <w:t>同时了解更多前沿报告及报价。</w:t>
      </w:r>
      <w:r w:rsidR="005141CD">
        <w:rPr>
          <w:rFonts w:hint="eastAsia"/>
        </w:rPr>
        <w:t>针对</w:t>
      </w:r>
      <w:r w:rsidR="000D7A22">
        <w:rPr>
          <w:rFonts w:hint="eastAsia"/>
        </w:rPr>
        <w:t>生物陶瓷和羟基磷灰石</w:t>
      </w:r>
      <w:r w:rsidR="005141CD">
        <w:rPr>
          <w:rFonts w:hint="eastAsia"/>
        </w:rPr>
        <w:t>行业产品分类、应用、行业政策、产业链、生产模式、销售模式、行业发展有利因素、不利因素和进入壁垒也做了详细分析。</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国瓷材料</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lastRenderedPageBreak/>
        <w:t xml:space="preserve">    CAM Bioceramics</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东曹</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Daiichi Kigenso Kagaku Kogyo (DKK)</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京瓷</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Sagemax (Ivoclar Vivadent)</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3M</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Orbray</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江西赛瓷材料</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SigmaGraft Biomaterials</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帝斯曼</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Dentsply Sirona</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Fluidinova</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昆山华侨科技新材料</w:t>
      </w:r>
    </w:p>
    <w:p w:rsidR="000D7A22" w:rsidRPr="000D7A22" w:rsidRDefault="000D7A22" w:rsidP="000D7A22">
      <w:pPr>
        <w:pStyle w:val="a5"/>
        <w:spacing w:before="240" w:after="240" w:line="420" w:lineRule="atLeast"/>
        <w:jc w:val="both"/>
        <w:rPr>
          <w:rFonts w:ascii="Helvetica" w:eastAsia="Helvetica" w:hAnsi="Helvetica" w:cs="Helvetica"/>
          <w:b/>
          <w:color w:val="333333"/>
          <w:sz w:val="19"/>
          <w:szCs w:val="19"/>
        </w:rPr>
      </w:pPr>
      <w:r w:rsidRPr="000D7A22">
        <w:rPr>
          <w:rFonts w:ascii="Helvetica" w:eastAsia="Helvetica" w:hAnsi="Helvetica" w:cs="Helvetica"/>
          <w:b/>
          <w:color w:val="333333"/>
          <w:sz w:val="19"/>
          <w:szCs w:val="19"/>
        </w:rPr>
        <w:t>按照不同产品类型，包括如下几个类别：</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氧化铝</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氧化锆</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羟基磷灰石</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磷酸三钙</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二硅酸锂</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其他</w:t>
      </w:r>
    </w:p>
    <w:p w:rsidR="000D7A22" w:rsidRPr="000D7A22" w:rsidRDefault="000D7A22" w:rsidP="000D7A22">
      <w:pPr>
        <w:pStyle w:val="a5"/>
        <w:spacing w:before="240" w:after="240" w:line="420" w:lineRule="atLeast"/>
        <w:jc w:val="both"/>
        <w:rPr>
          <w:rFonts w:ascii="Helvetica" w:eastAsia="Helvetica" w:hAnsi="Helvetica" w:cs="Helvetica"/>
          <w:b/>
          <w:color w:val="333333"/>
          <w:sz w:val="19"/>
          <w:szCs w:val="19"/>
        </w:rPr>
      </w:pPr>
      <w:r w:rsidRPr="000D7A22">
        <w:rPr>
          <w:rFonts w:ascii="Helvetica" w:eastAsia="Helvetica" w:hAnsi="Helvetica" w:cs="Helvetica"/>
          <w:b/>
          <w:color w:val="333333"/>
          <w:sz w:val="19"/>
          <w:szCs w:val="19"/>
        </w:rPr>
        <w:t>按照不同应用，主要包括如下几个方面：</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骨科</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牙科</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整形外科</w:t>
      </w:r>
    </w:p>
    <w:p w:rsidR="000D7A22" w:rsidRPr="000D7A22" w:rsidRDefault="000D7A22" w:rsidP="000D7A22">
      <w:pPr>
        <w:pStyle w:val="a5"/>
        <w:spacing w:before="240" w:after="240" w:line="420" w:lineRule="atLeast"/>
        <w:jc w:val="both"/>
        <w:rPr>
          <w:rFonts w:ascii="Helvetica" w:eastAsia="Helvetica" w:hAnsi="Helvetica" w:cs="Helvetica"/>
          <w:color w:val="333333"/>
          <w:sz w:val="19"/>
          <w:szCs w:val="19"/>
        </w:rPr>
      </w:pPr>
      <w:r w:rsidRPr="000D7A22">
        <w:rPr>
          <w:rFonts w:ascii="Helvetica" w:eastAsia="Helvetica" w:hAnsi="Helvetica" w:cs="Helvetica"/>
          <w:color w:val="333333"/>
          <w:sz w:val="19"/>
          <w:szCs w:val="19"/>
        </w:rPr>
        <w:t xml:space="preserve">    其他</w:t>
      </w:r>
    </w:p>
    <w:p w:rsidR="000B429F" w:rsidRDefault="005141CD" w:rsidP="00D01E35">
      <w:pPr>
        <w:pStyle w:val="a5"/>
        <w:widowControl/>
        <w:spacing w:before="240" w:beforeAutospacing="0" w:after="240" w:afterAutospacing="0" w:line="420" w:lineRule="atLeast"/>
        <w:jc w:val="both"/>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报告正文共</w:t>
      </w:r>
      <w:r>
        <w:rPr>
          <w:rFonts w:hint="eastAsia"/>
          <w:b/>
          <w:szCs w:val="24"/>
        </w:rPr>
        <w:t>11</w:t>
      </w:r>
      <w:r>
        <w:rPr>
          <w:rFonts w:hint="eastAsia"/>
          <w:b/>
          <w:szCs w:val="24"/>
        </w:rPr>
        <w:t>章，各章节主要内容如下：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第1章：报告统计范围、产品细分、下游应用领域，以及行业发展总体概况、有利和不利因素、进入壁垒等；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第2章：全球市场供需情况、中国地区供需情况，包括主要地区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产量、销量、收入、价格及市场份额等；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第3章：全球主要地区和国家，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销量和销售收入，</w:t>
      </w:r>
      <w:r w:rsidR="00743420">
        <w:rPr>
          <w:rFonts w:ascii="Helvetica" w:eastAsia="Helvetica" w:hAnsi="Helvetica" w:cs="Helvetica"/>
          <w:color w:val="333333"/>
          <w:sz w:val="19"/>
          <w:szCs w:val="19"/>
        </w:rPr>
        <w:t>2019-2023</w:t>
      </w:r>
      <w:r w:rsidR="00743420">
        <w:rPr>
          <w:rFonts w:ascii="宋体" w:eastAsia="宋体" w:hAnsi="宋体" w:cs="宋体" w:hint="eastAsia"/>
          <w:color w:val="333333"/>
          <w:sz w:val="19"/>
          <w:szCs w:val="19"/>
        </w:rPr>
        <w:t>，及预测</w:t>
      </w:r>
      <w:r w:rsidR="00743420">
        <w:rPr>
          <w:rFonts w:ascii="Helvetica" w:eastAsia="Helvetica" w:hAnsi="Helvetica" w:cs="Helvetica"/>
          <w:color w:val="333333"/>
          <w:sz w:val="19"/>
          <w:szCs w:val="19"/>
        </w:rPr>
        <w:t>2024</w:t>
      </w:r>
      <w:r w:rsidR="00743420">
        <w:rPr>
          <w:rFonts w:ascii="宋体" w:eastAsia="宋体" w:hAnsi="宋体" w:cs="宋体" w:hint="eastAsia"/>
          <w:color w:val="333333"/>
          <w:sz w:val="19"/>
          <w:szCs w:val="19"/>
        </w:rPr>
        <w:t>到</w:t>
      </w:r>
      <w:r w:rsidR="00743420">
        <w:rPr>
          <w:rFonts w:ascii="Helvetica" w:eastAsia="Helvetica" w:hAnsi="Helvetica" w:cs="Helvetica"/>
          <w:color w:val="333333"/>
          <w:sz w:val="19"/>
          <w:szCs w:val="19"/>
        </w:rPr>
        <w:t>2030</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第4章：行业竞争格局分析，包括全球市场企业排名及市场份额、中国市场企业排名和份额、主要厂商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销量、收入、价格和市场份额等；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第5章：全球市场不同类型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第6章：全球市场不同应用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第7章：行业发展环境分析，包括政策、增长驱动因素、技术趋势、营销等；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第8章：行业供应链分析，包括产业链、主要原料供应情况、下游应用情况、行业采购模式、生产模式、销售模式及销售渠道等；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第9章：全球市场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主要厂商基本情况介绍，包括公司简介、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产品规格型号、销量、价格、收入及公司最新动态等；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第10章：中国市场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进出口情况分析；</w:t>
      </w:r>
    </w:p>
    <w:p w:rsidR="000B429F" w:rsidRDefault="005141CD">
      <w:pPr>
        <w:pStyle w:val="a5"/>
        <w:widowControl/>
        <w:spacing w:before="240" w:beforeAutospacing="0" w:after="240" w:afterAutospacing="0" w:line="420" w:lineRule="atLeast"/>
        <w:jc w:val="both"/>
        <w:rPr>
          <w:rFonts w:ascii="Helvetica" w:eastAsia="宋体" w:hAnsi="Helvetica" w:cs="Helvetica"/>
          <w:color w:val="333333"/>
          <w:sz w:val="19"/>
          <w:szCs w:val="19"/>
        </w:rPr>
      </w:pPr>
      <w:r>
        <w:rPr>
          <w:rFonts w:ascii="Helvetica" w:eastAsia="Helvetica" w:hAnsi="Helvetica" w:cs="Helvetica"/>
          <w:color w:val="333333"/>
          <w:sz w:val="19"/>
          <w:szCs w:val="19"/>
        </w:rPr>
        <w:t>第11章：中国市场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主要生产和消费地区分布</w:t>
      </w:r>
      <w:r>
        <w:rPr>
          <w:rFonts w:ascii="Helvetica" w:eastAsia="宋体" w:hAnsi="Helvetica" w:cs="Helvetica" w:hint="eastAsia"/>
          <w:color w:val="333333"/>
          <w:sz w:val="19"/>
          <w:szCs w:val="19"/>
        </w:rPr>
        <w:t>。</w:t>
      </w:r>
    </w:p>
    <w:p w:rsidR="00B15258" w:rsidRPr="00C725DF" w:rsidRDefault="00B15258" w:rsidP="00B15258">
      <w:pPr>
        <w:rPr>
          <w:b/>
        </w:rPr>
      </w:pPr>
      <w:r w:rsidRPr="00C725DF">
        <w:rPr>
          <w:rFonts w:hint="eastAsia"/>
          <w:b/>
        </w:rPr>
        <w:t>《辰宇信息咨询</w:t>
      </w:r>
      <w:r w:rsidRPr="00C725DF">
        <w:rPr>
          <w:rFonts w:hint="eastAsia"/>
          <w:b/>
        </w:rPr>
        <w:t xml:space="preserve"> /</w:t>
      </w:r>
      <w:r w:rsidRPr="00C725DF">
        <w:rPr>
          <w:rFonts w:hint="eastAsia"/>
          <w:b/>
        </w:rPr>
        <w:t>全球及中国</w:t>
      </w:r>
      <w:r w:rsidR="000D7A22">
        <w:rPr>
          <w:rFonts w:hint="eastAsia"/>
          <w:b/>
          <w:bCs/>
        </w:rPr>
        <w:t>生物陶瓷和羟基磷灰石</w:t>
      </w:r>
      <w:r w:rsidRPr="00C725DF">
        <w:rPr>
          <w:rFonts w:hint="eastAsia"/>
          <w:b/>
        </w:rPr>
        <w:t>行业研究及十</w:t>
      </w:r>
      <w:r w:rsidR="004857F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0B429F" w:rsidRDefault="005141CD">
      <w:pPr>
        <w:pStyle w:val="a5"/>
        <w:widowControl/>
        <w:spacing w:before="240" w:beforeAutospacing="0" w:after="240" w:afterAutospacing="0" w:line="420" w:lineRule="atLeast"/>
        <w:jc w:val="both"/>
        <w:rPr>
          <w:b/>
          <w:szCs w:val="24"/>
        </w:rPr>
      </w:pPr>
      <w:r>
        <w:rPr>
          <w:rFonts w:hint="eastAsia"/>
          <w:b/>
          <w:szCs w:val="24"/>
        </w:rPr>
        <w:t xml:space="preserve">1 </w:t>
      </w:r>
      <w:r w:rsidR="000D7A22">
        <w:rPr>
          <w:rFonts w:hint="eastAsia"/>
          <w:b/>
          <w:szCs w:val="24"/>
        </w:rPr>
        <w:t>生物陶瓷和羟基磷灰石</w:t>
      </w:r>
      <w:r>
        <w:rPr>
          <w:rFonts w:hint="eastAsia"/>
          <w:b/>
          <w:szCs w:val="24"/>
        </w:rPr>
        <w:t>市场概述</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1.1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行业概述及统计范围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 按照不同类型，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主要可以分为如下几个类别</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1.2.1 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 从不同</w:t>
      </w:r>
      <w:r>
        <w:rPr>
          <w:rFonts w:ascii="Helvetica" w:eastAsia="宋体" w:hAnsi="Helvetica" w:cs="Helvetica" w:hint="eastAsia"/>
          <w:color w:val="333333"/>
          <w:sz w:val="19"/>
          <w:szCs w:val="19"/>
        </w:rPr>
        <w:t>尺寸或应用</w:t>
      </w:r>
      <w:r>
        <w:rPr>
          <w:rFonts w:ascii="Helvetica" w:eastAsia="Helvetica" w:hAnsi="Helvetica" w:cs="Helvetica"/>
          <w:color w:val="333333"/>
          <w:sz w:val="19"/>
          <w:szCs w:val="19"/>
        </w:rPr>
        <w:t>，</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主要包括如下几个方面</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1.3.1 不同</w:t>
      </w:r>
      <w:r>
        <w:rPr>
          <w:rFonts w:ascii="Helvetica" w:eastAsia="宋体" w:hAnsi="Helvetica" w:cs="Helvetica" w:hint="eastAsia"/>
          <w:color w:val="333333"/>
          <w:sz w:val="19"/>
          <w:szCs w:val="19"/>
        </w:rPr>
        <w:t>尺寸或应用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 行业发展现状分析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1.4.1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行业发展总体概况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1.4.2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行业发展主要特点</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1.4.3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行业发展影响因素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1.4.4 进入行业壁垒</w:t>
      </w:r>
    </w:p>
    <w:p w:rsidR="000B429F" w:rsidRDefault="005141CD">
      <w:pPr>
        <w:pStyle w:val="a5"/>
        <w:widowControl/>
        <w:spacing w:before="240" w:beforeAutospacing="0" w:after="240" w:afterAutospacing="0" w:line="420" w:lineRule="atLeast"/>
        <w:jc w:val="both"/>
        <w:rPr>
          <w:b/>
          <w:szCs w:val="24"/>
        </w:rPr>
      </w:pPr>
      <w:r>
        <w:rPr>
          <w:b/>
          <w:szCs w:val="24"/>
        </w:rPr>
        <w:t xml:space="preserve">2 </w:t>
      </w:r>
      <w:r>
        <w:rPr>
          <w:b/>
          <w:szCs w:val="24"/>
        </w:rPr>
        <w:t>行业发展现状及</w:t>
      </w:r>
      <w:r>
        <w:rPr>
          <w:b/>
          <w:szCs w:val="24"/>
        </w:rPr>
        <w:t>“</w:t>
      </w:r>
      <w:r>
        <w:rPr>
          <w:b/>
          <w:szCs w:val="24"/>
        </w:rPr>
        <w:t>十四五</w:t>
      </w:r>
      <w:r>
        <w:rPr>
          <w:b/>
          <w:szCs w:val="24"/>
        </w:rPr>
        <w:t>”</w:t>
      </w:r>
      <w:r>
        <w:rPr>
          <w:b/>
          <w:szCs w:val="24"/>
        </w:rPr>
        <w:t>前景预测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 全球</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2.1.1 全球</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2.1.2 全球</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产量、需求量及发展趋势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2.1.3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2.2.1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2.2.2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产量、市场需求量及发展趋势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2.2.3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产能和产量占全球的比重</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 全球</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2.3.1 全球市场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2.3.2 全球市场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2.3.3 全球市场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价格趋势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2.4.1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2.4.2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2.4.3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销量和收入占全球的比重</w:t>
      </w:r>
    </w:p>
    <w:p w:rsidR="000B429F" w:rsidRDefault="005141CD">
      <w:pPr>
        <w:pStyle w:val="a5"/>
        <w:widowControl/>
        <w:spacing w:before="240" w:beforeAutospacing="0" w:after="240" w:afterAutospacing="0" w:line="420" w:lineRule="atLeast"/>
        <w:jc w:val="both"/>
        <w:rPr>
          <w:b/>
          <w:szCs w:val="24"/>
        </w:rPr>
      </w:pPr>
      <w:r>
        <w:rPr>
          <w:b/>
          <w:szCs w:val="24"/>
        </w:rPr>
        <w:t xml:space="preserve">3 </w:t>
      </w:r>
      <w:r>
        <w:rPr>
          <w:b/>
          <w:szCs w:val="24"/>
        </w:rPr>
        <w:t>全球</w:t>
      </w:r>
      <w:r w:rsidR="000D7A22">
        <w:rPr>
          <w:rFonts w:hint="eastAsia"/>
          <w:b/>
          <w:szCs w:val="24"/>
        </w:rPr>
        <w:t>生物陶瓷和羟基磷灰石</w:t>
      </w:r>
      <w:r>
        <w:rPr>
          <w:b/>
          <w:szCs w:val="24"/>
        </w:rPr>
        <w:t>主要地区分析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市场规模分析：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3.1.1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3.1.2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3.2.1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3.2.2 全球主要地区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 北美（美国和加拿大）</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3.3.1 北美（美国和加拿大）</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3.3.2 北美（美国和加拿大）</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 欧洲（德国、英国、法国和意大利等国家）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3.4.1 欧洲（德国、英国、法国和意大利等国家）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3.4.2 欧洲（德国、英国、法国和意大利等国家）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 亚太地区（中国、日本、韩国、中国台湾、印度和东南亚等）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3.5.1 亚太（中国、日本、韩国、中国台湾、印度和东南亚等）</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3.5.2 亚太（中国、日本、韩国、中国台湾、印度和东南亚等）</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 拉美地区（墨西哥、巴西等国家）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3.6.1 拉美地区（墨西哥、巴西等国家）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3.6.2 拉美地区（墨西哥、巴西等国家）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 中东及非洲</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3.7.1 中东及非洲（土耳其、沙特等国家）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3.7.2 中东及非洲（土耳其、沙特等国家）</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4 </w:t>
      </w:r>
      <w:r>
        <w:rPr>
          <w:b/>
          <w:szCs w:val="24"/>
        </w:rPr>
        <w:t>行业竞争格局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 全球市场竞争格局分析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4.1.1 全球市场主要厂商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产能市场份额</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4.1.2 全球市场主要厂商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4.1.3 全球市场主要厂商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4.1.4 全球市场主要厂商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4.1.5 2021年全球主要生产商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 中国市场竞争格局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4.2.1 中国市场主要厂商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4.2.2 中国市场主要厂商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4.2.3 中国市场主要厂商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4.2.4 2021年中国主要生产商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4.3 全球主要厂商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产地分布及商业化日期</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4.4 全球主要厂商</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产品类型列表</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行业集中度、竞争程度分析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4.5.1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行业集中度分析：全球头部厂商份额（Top 5）</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4.5.2 全球</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第一梯队、第二梯队和第三梯队生产商（品牌）及市场份额</w:t>
      </w:r>
    </w:p>
    <w:p w:rsidR="000B429F" w:rsidRDefault="005141CD">
      <w:pPr>
        <w:pStyle w:val="a5"/>
        <w:widowControl/>
        <w:spacing w:before="240" w:beforeAutospacing="0" w:after="240" w:afterAutospacing="0" w:line="420" w:lineRule="atLeast"/>
        <w:jc w:val="both"/>
        <w:rPr>
          <w:b/>
          <w:szCs w:val="24"/>
        </w:rPr>
      </w:pPr>
      <w:r>
        <w:rPr>
          <w:b/>
          <w:szCs w:val="24"/>
        </w:rPr>
        <w:t xml:space="preserve">5 </w:t>
      </w:r>
      <w:r>
        <w:rPr>
          <w:b/>
          <w:szCs w:val="24"/>
        </w:rPr>
        <w:t>不同类型</w:t>
      </w:r>
      <w:r w:rsidR="000D7A22">
        <w:rPr>
          <w:rFonts w:hint="eastAsia"/>
          <w:b/>
          <w:szCs w:val="24"/>
        </w:rPr>
        <w:t>生物陶瓷和羟基磷灰石</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5.1.1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5.1.2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5.2.1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5.2.2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5.3 全球市场不同类型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5.4.1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5.4.2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5.5.1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5.5.2 中国市场不同类型</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6 </w:t>
      </w:r>
      <w:r>
        <w:rPr>
          <w:b/>
          <w:szCs w:val="24"/>
        </w:rPr>
        <w:t>不同</w:t>
      </w:r>
      <w:r>
        <w:rPr>
          <w:rFonts w:hint="eastAsia"/>
          <w:b/>
          <w:szCs w:val="24"/>
        </w:rPr>
        <w:t>应用</w:t>
      </w:r>
      <w:r w:rsidR="000D7A22">
        <w:rPr>
          <w:rFonts w:hint="eastAsia"/>
          <w:b/>
          <w:szCs w:val="24"/>
        </w:rPr>
        <w:t>生物陶瓷和羟基磷灰石</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6.1.1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6.1.2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6.2.1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6.2.2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6.3 全球市场不同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6.4.1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6.4.2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6.5.1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6.5.2 中国市场不同</w:t>
      </w:r>
      <w:r>
        <w:rPr>
          <w:rFonts w:ascii="Helvetica" w:eastAsia="宋体" w:hAnsi="Helvetica" w:cs="Helvetica" w:hint="eastAsia"/>
          <w:color w:val="333333"/>
          <w:sz w:val="19"/>
          <w:szCs w:val="19"/>
        </w:rPr>
        <w:t>应用</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7 </w:t>
      </w:r>
      <w:r>
        <w:rPr>
          <w:b/>
          <w:szCs w:val="24"/>
        </w:rPr>
        <w:t>行业发展环境分析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7.1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行业发展趋势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7.2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行业主要驱动因素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7.3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中国企业SWOT分析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行业政策环境分析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7.4.1 行业主管部门及监管体制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7.4.2 行业相关政策动向</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7.4.3 行业相关规划</w:t>
      </w:r>
    </w:p>
    <w:p w:rsidR="000B429F" w:rsidRDefault="005141CD">
      <w:pPr>
        <w:pStyle w:val="a5"/>
        <w:widowControl/>
        <w:spacing w:before="240" w:beforeAutospacing="0" w:after="240" w:afterAutospacing="0" w:line="420" w:lineRule="atLeast"/>
        <w:jc w:val="both"/>
        <w:rPr>
          <w:b/>
          <w:szCs w:val="24"/>
        </w:rPr>
      </w:pPr>
      <w:r>
        <w:rPr>
          <w:b/>
          <w:szCs w:val="24"/>
        </w:rPr>
        <w:t xml:space="preserve">8 </w:t>
      </w:r>
      <w:r>
        <w:rPr>
          <w:b/>
          <w:szCs w:val="24"/>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8.1 全球产业链趋势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行业产业链简介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8.2.1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8.2.2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主要原料及供应情况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8.2.3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行业主要下游客户</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8.3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行业采购模式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8.4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行业生产模式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8.5 </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行业销售模式及销售渠道</w:t>
      </w:r>
    </w:p>
    <w:p w:rsidR="000B429F" w:rsidRDefault="005141CD">
      <w:pPr>
        <w:pStyle w:val="a5"/>
        <w:widowControl/>
        <w:spacing w:before="240" w:beforeAutospacing="0" w:after="240" w:afterAutospacing="0" w:line="420" w:lineRule="atLeast"/>
        <w:jc w:val="both"/>
        <w:rPr>
          <w:b/>
          <w:szCs w:val="24"/>
        </w:rPr>
      </w:pPr>
      <w:r>
        <w:rPr>
          <w:b/>
          <w:szCs w:val="24"/>
        </w:rPr>
        <w:t xml:space="preserve">9 </w:t>
      </w:r>
      <w:r>
        <w:rPr>
          <w:b/>
          <w:szCs w:val="24"/>
        </w:rPr>
        <w:t>全球市场主要</w:t>
      </w:r>
      <w:r w:rsidR="000D7A22">
        <w:rPr>
          <w:rFonts w:hint="eastAsia"/>
          <w:b/>
          <w:szCs w:val="24"/>
        </w:rPr>
        <w:t>生物陶瓷和羟基磷灰石</w:t>
      </w:r>
      <w:r>
        <w:rPr>
          <w:b/>
          <w:szCs w:val="24"/>
        </w:rPr>
        <w:t>厂商简介</w:t>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Pr="00743420">
        <w:rPr>
          <w:rFonts w:ascii="Helvetica" w:hAnsi="Helvetica" w:cs="Helvetic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企业一公司信息、</w:t>
      </w:r>
      <w:r w:rsidR="000D7A22">
        <w:rPr>
          <w:rFonts w:ascii="Helvetica" w:hAnsi="Helvetica" w:cs="Helvetica" w:hint="eastAsia"/>
          <w:color w:val="333333"/>
          <w:sz w:val="19"/>
          <w:szCs w:val="19"/>
        </w:rPr>
        <w:t>生物陶瓷和羟基磷灰石</w:t>
      </w:r>
      <w:r w:rsidRPr="00743420">
        <w:rPr>
          <w:rFonts w:ascii="Helvetica" w:hAnsi="Helvetica" w:cs="Helvetica" w:hint="eastAsia"/>
          <w:color w:val="333333"/>
          <w:sz w:val="19"/>
          <w:szCs w:val="19"/>
        </w:rPr>
        <w:t>生产基地、销售区域、竞争对手及市场地位</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0D7A22">
        <w:rPr>
          <w:rFonts w:ascii="Helvetica" w:hAnsi="Helvetica" w:cs="Helvetica" w:hint="eastAsia"/>
          <w:color w:val="333333"/>
          <w:sz w:val="19"/>
          <w:szCs w:val="19"/>
        </w:rPr>
        <w:t>生物陶瓷和羟基磷灰石</w:t>
      </w:r>
      <w:r w:rsidRPr="00743420">
        <w:rPr>
          <w:rFonts w:ascii="Helvetica" w:hAnsi="Helvetica" w:cs="Helvetica" w:hint="eastAsia"/>
          <w:color w:val="333333"/>
          <w:sz w:val="19"/>
          <w:szCs w:val="19"/>
        </w:rPr>
        <w:t>产品规格、参数及市场应用</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0D7A22">
        <w:rPr>
          <w:rFonts w:ascii="Helvetica" w:hAnsi="Helvetica" w:cs="Helvetica" w:hint="eastAsia"/>
          <w:color w:val="333333"/>
          <w:sz w:val="19"/>
          <w:szCs w:val="19"/>
        </w:rPr>
        <w:t>生物陶瓷和羟基磷灰石</w:t>
      </w:r>
      <w:r w:rsidRPr="00743420">
        <w:rPr>
          <w:rFonts w:ascii="Helvetica" w:hAnsi="Helvetica" w:cs="Helvetica" w:hint="eastAsia"/>
          <w:color w:val="333333"/>
          <w:sz w:val="19"/>
          <w:szCs w:val="19"/>
        </w:rPr>
        <w:t>销量、收入、价格及毛利率（</w:t>
      </w:r>
      <w:r w:rsidRPr="00743420">
        <w:rPr>
          <w:rFonts w:ascii="Helvetica" w:hAnsi="Helvetica" w:cs="Helvetica" w:hint="eastAsia"/>
          <w:color w:val="333333"/>
          <w:sz w:val="19"/>
          <w:szCs w:val="19"/>
        </w:rPr>
        <w:t>2019-2024</w:t>
      </w:r>
      <w:r w:rsidRPr="00743420">
        <w:rPr>
          <w:rFonts w:ascii="Helvetica" w:hAnsi="Helvetica" w:cs="Helvetica" w:hint="eastAsia"/>
          <w:color w:val="333333"/>
          <w:sz w:val="19"/>
          <w:szCs w:val="19"/>
        </w:rPr>
        <w:t>）</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企业一公司简介及主要业务</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企业一企业最新动态</w:t>
      </w:r>
      <w:r w:rsidRPr="00743420">
        <w:rPr>
          <w:rFonts w:ascii="Helvetica" w:hAnsi="Helvetica" w:cs="Helvetica" w:hint="eastAsia"/>
          <w:color w:val="333333"/>
          <w:sz w:val="19"/>
          <w:szCs w:val="19"/>
        </w:rPr>
        <w:tab/>
      </w:r>
    </w:p>
    <w:p w:rsidR="000B429F" w:rsidRDefault="005141CD">
      <w:pPr>
        <w:pStyle w:val="a5"/>
        <w:widowControl/>
        <w:spacing w:before="240" w:beforeAutospacing="0" w:after="240" w:afterAutospacing="0" w:line="420" w:lineRule="atLeast"/>
        <w:jc w:val="both"/>
        <w:rPr>
          <w:b/>
          <w:szCs w:val="24"/>
        </w:rPr>
      </w:pPr>
      <w:r>
        <w:rPr>
          <w:b/>
          <w:szCs w:val="24"/>
        </w:rPr>
        <w:t xml:space="preserve">10 </w:t>
      </w:r>
      <w:r>
        <w:rPr>
          <w:b/>
          <w:szCs w:val="24"/>
        </w:rPr>
        <w:t>中国市场</w:t>
      </w:r>
      <w:r w:rsidR="000D7A22">
        <w:rPr>
          <w:rFonts w:hint="eastAsia"/>
          <w:b/>
          <w:szCs w:val="24"/>
        </w:rPr>
        <w:t>生物陶瓷和羟基磷灰石</w:t>
      </w:r>
      <w:r>
        <w:rPr>
          <w:b/>
          <w:szCs w:val="24"/>
        </w:rPr>
        <w:t>产量、销量、进出口分析及未来趋势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10.1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产量、销量、进出口分析及未来趋势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10.2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进出口贸易趋势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10.3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主要进口来源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10.4 中国市场</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主要出口目的地</w:t>
      </w:r>
    </w:p>
    <w:p w:rsidR="000B429F" w:rsidRDefault="005141CD">
      <w:pPr>
        <w:pStyle w:val="a5"/>
        <w:widowControl/>
        <w:spacing w:before="240" w:beforeAutospacing="0" w:after="240" w:afterAutospacing="0" w:line="420" w:lineRule="atLeast"/>
        <w:jc w:val="both"/>
        <w:rPr>
          <w:b/>
          <w:szCs w:val="24"/>
        </w:rPr>
      </w:pPr>
      <w:r>
        <w:rPr>
          <w:b/>
          <w:szCs w:val="24"/>
        </w:rPr>
        <w:t xml:space="preserve">11 </w:t>
      </w:r>
      <w:r>
        <w:rPr>
          <w:b/>
          <w:szCs w:val="24"/>
        </w:rPr>
        <w:t>中国市场</w:t>
      </w:r>
      <w:r w:rsidR="000D7A22">
        <w:rPr>
          <w:rFonts w:hint="eastAsia"/>
          <w:b/>
          <w:szCs w:val="24"/>
        </w:rPr>
        <w:t>生物陶瓷和羟基磷灰石</w:t>
      </w:r>
      <w:r>
        <w:rPr>
          <w:b/>
          <w:szCs w:val="24"/>
        </w:rPr>
        <w:t>主要地区分布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11.1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生产地区分布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11.2 中国</w:t>
      </w:r>
      <w:r w:rsidR="000D7A22">
        <w:rPr>
          <w:rFonts w:ascii="Helvetica" w:eastAsia="宋体" w:hAnsi="Helvetica" w:cs="Helvetica" w:hint="eastAsia"/>
          <w:color w:val="333333"/>
          <w:sz w:val="19"/>
          <w:szCs w:val="19"/>
        </w:rPr>
        <w:t>生物陶瓷和羟基磷灰石</w:t>
      </w:r>
      <w:r>
        <w:rPr>
          <w:rFonts w:ascii="Helvetica" w:eastAsia="Helvetica" w:hAnsi="Helvetica" w:cs="Helvetica"/>
          <w:color w:val="333333"/>
          <w:sz w:val="19"/>
          <w:szCs w:val="19"/>
        </w:rPr>
        <w:t>消费地区分布</w:t>
      </w:r>
    </w:p>
    <w:p w:rsidR="000B429F" w:rsidRDefault="005141CD">
      <w:pPr>
        <w:rPr>
          <w:b/>
        </w:rPr>
      </w:pPr>
      <w:r>
        <w:rPr>
          <w:rFonts w:hint="eastAsia"/>
          <w:b/>
        </w:rPr>
        <w:t>▲资料来源：更多资料请参考发布的《全球及中国</w:t>
      </w:r>
      <w:r w:rsidR="000D7A22">
        <w:rPr>
          <w:rFonts w:hint="eastAsia"/>
          <w:b/>
          <w:bCs/>
        </w:rPr>
        <w:t>生物陶瓷和羟基磷灰石</w:t>
      </w:r>
      <w:r>
        <w:rPr>
          <w:rFonts w:hint="eastAsia"/>
          <w:b/>
        </w:rPr>
        <w:t>行业研究及十</w:t>
      </w:r>
      <w:r w:rsidR="004857F7">
        <w:rPr>
          <w:rFonts w:hint="eastAsia"/>
          <w:b/>
        </w:rPr>
        <w:t>五</w:t>
      </w:r>
      <w:r>
        <w:rPr>
          <w:rFonts w:hint="eastAsia"/>
          <w:b/>
        </w:rPr>
        <w:t>五规划分析报告》</w:t>
      </w:r>
    </w:p>
    <w:p w:rsidR="000B429F" w:rsidRDefault="005141CD">
      <w:r>
        <w:rPr>
          <w:rFonts w:hint="eastAsia"/>
        </w:rPr>
        <w:t>同时，</w:t>
      </w:r>
      <w:r w:rsidR="00814F93" w:rsidRPr="00814F93">
        <w:rPr>
          <w:rFonts w:hint="eastAsia"/>
          <w:b/>
        </w:rPr>
        <w:t>辰宇信息咨询</w:t>
      </w:r>
      <w:r w:rsidR="00814F93" w:rsidRPr="00814F93">
        <w:rPr>
          <w:rFonts w:hint="eastAsia"/>
        </w:rPr>
        <w:t>提供专业市场研究报告、定制研究、管理咨询、</w:t>
      </w:r>
      <w:r w:rsidR="00814F93" w:rsidRPr="00814F93">
        <w:rPr>
          <w:rFonts w:hint="eastAsia"/>
        </w:rPr>
        <w:t>IPO</w:t>
      </w:r>
      <w:r w:rsidR="00814F93" w:rsidRPr="00814F93">
        <w:rPr>
          <w:rFonts w:hint="eastAsia"/>
        </w:rPr>
        <w:t>咨询、产业链等分析报告，涵盖化工材料、机械设备、医疗设备及耗材、电子半导体、软件、包装、网络及通信、汽车交通、医疗护理、原料药品及保健品等</w:t>
      </w:r>
      <w:r w:rsidR="00814F93" w:rsidRPr="00814F93">
        <w:rPr>
          <w:rFonts w:hint="eastAsia"/>
        </w:rPr>
        <w:t>30</w:t>
      </w:r>
      <w:r w:rsidR="00814F93" w:rsidRPr="00814F93">
        <w:rPr>
          <w:rFonts w:hint="eastAsia"/>
        </w:rPr>
        <w:t>多个行业。</w:t>
      </w:r>
      <w:r w:rsidR="00814F93">
        <w:rPr>
          <w:rFonts w:hint="eastAsia"/>
        </w:rPr>
        <w:t>（</w:t>
      </w:r>
      <w:r w:rsidR="00814F93" w:rsidRPr="00814F93">
        <w:rPr>
          <w:rFonts w:hint="eastAsia"/>
        </w:rPr>
        <w:t>制造业单项冠军申请和专精特新“小巨人”</w:t>
      </w:r>
      <w:r w:rsidR="00814F93">
        <w:rPr>
          <w:rFonts w:hint="eastAsia"/>
        </w:rPr>
        <w:t>等</w:t>
      </w:r>
      <w:r w:rsidR="00814F93" w:rsidRPr="00814F93">
        <w:rPr>
          <w:rFonts w:hint="eastAsia"/>
        </w:rPr>
        <w:t>项目申请的企业市占率服务。</w:t>
      </w:r>
      <w:r w:rsidR="00814F93">
        <w:rPr>
          <w:rFonts w:hint="eastAsia"/>
        </w:rPr>
        <w:t>）</w:t>
      </w:r>
    </w:p>
    <w:sectPr w:rsidR="000B429F"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910" w:rsidRDefault="008C7910" w:rsidP="00316DFB">
      <w:r>
        <w:separator/>
      </w:r>
    </w:p>
  </w:endnote>
  <w:endnote w:type="continuationSeparator" w:id="0">
    <w:p w:rsidR="008C7910" w:rsidRDefault="008C7910"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Microsoft YaHei UI">
    <w:altName w:val="微软雅黑"/>
    <w:charset w:val="86"/>
    <w:family w:val="swiss"/>
    <w:pitch w:val="variable"/>
    <w:sig w:usb0="00000000" w:usb1="28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910" w:rsidRDefault="008C7910" w:rsidP="00316DFB">
      <w:r>
        <w:separator/>
      </w:r>
    </w:p>
  </w:footnote>
  <w:footnote w:type="continuationSeparator" w:id="0">
    <w:p w:rsidR="008C7910" w:rsidRDefault="008C7910"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E76"/>
    <w:rsid w:val="00013678"/>
    <w:rsid w:val="00036AFB"/>
    <w:rsid w:val="000714FC"/>
    <w:rsid w:val="0008216E"/>
    <w:rsid w:val="00090EF7"/>
    <w:rsid w:val="000B429F"/>
    <w:rsid w:val="000B7EC1"/>
    <w:rsid w:val="000D0E8B"/>
    <w:rsid w:val="000D7A22"/>
    <w:rsid w:val="000E00F4"/>
    <w:rsid w:val="000F5347"/>
    <w:rsid w:val="001162CA"/>
    <w:rsid w:val="00160D57"/>
    <w:rsid w:val="0016528F"/>
    <w:rsid w:val="00174AFE"/>
    <w:rsid w:val="00177BC6"/>
    <w:rsid w:val="001830D9"/>
    <w:rsid w:val="00191133"/>
    <w:rsid w:val="00194515"/>
    <w:rsid w:val="001A1682"/>
    <w:rsid w:val="002C4FB4"/>
    <w:rsid w:val="002D1BF8"/>
    <w:rsid w:val="002D3366"/>
    <w:rsid w:val="002E60F0"/>
    <w:rsid w:val="002F2AAF"/>
    <w:rsid w:val="00316DFB"/>
    <w:rsid w:val="00340926"/>
    <w:rsid w:val="00362568"/>
    <w:rsid w:val="0037039B"/>
    <w:rsid w:val="00387ABE"/>
    <w:rsid w:val="003C713C"/>
    <w:rsid w:val="003D1808"/>
    <w:rsid w:val="003D4BE0"/>
    <w:rsid w:val="003E5578"/>
    <w:rsid w:val="003F1699"/>
    <w:rsid w:val="003F2E19"/>
    <w:rsid w:val="003F6501"/>
    <w:rsid w:val="004225AE"/>
    <w:rsid w:val="00430D2E"/>
    <w:rsid w:val="00445880"/>
    <w:rsid w:val="00480A5B"/>
    <w:rsid w:val="00483C79"/>
    <w:rsid w:val="004857F7"/>
    <w:rsid w:val="004A1559"/>
    <w:rsid w:val="004A331F"/>
    <w:rsid w:val="004B10D9"/>
    <w:rsid w:val="004B3FBE"/>
    <w:rsid w:val="004C323A"/>
    <w:rsid w:val="004C4E46"/>
    <w:rsid w:val="004E13CA"/>
    <w:rsid w:val="0051395F"/>
    <w:rsid w:val="005141CD"/>
    <w:rsid w:val="0052551C"/>
    <w:rsid w:val="00534C26"/>
    <w:rsid w:val="005355E8"/>
    <w:rsid w:val="00536E45"/>
    <w:rsid w:val="00545B2D"/>
    <w:rsid w:val="00552B35"/>
    <w:rsid w:val="0056202C"/>
    <w:rsid w:val="00587118"/>
    <w:rsid w:val="005922F6"/>
    <w:rsid w:val="005B38CC"/>
    <w:rsid w:val="005C0C1E"/>
    <w:rsid w:val="006056B3"/>
    <w:rsid w:val="0061565F"/>
    <w:rsid w:val="0062774F"/>
    <w:rsid w:val="00630A86"/>
    <w:rsid w:val="00633577"/>
    <w:rsid w:val="00634D87"/>
    <w:rsid w:val="00651252"/>
    <w:rsid w:val="006B3636"/>
    <w:rsid w:val="007344C5"/>
    <w:rsid w:val="00740748"/>
    <w:rsid w:val="00743420"/>
    <w:rsid w:val="00744ADC"/>
    <w:rsid w:val="00786892"/>
    <w:rsid w:val="007C0E2C"/>
    <w:rsid w:val="007D56AB"/>
    <w:rsid w:val="008027E1"/>
    <w:rsid w:val="00812D7C"/>
    <w:rsid w:val="00814F93"/>
    <w:rsid w:val="00837CF8"/>
    <w:rsid w:val="00840EBE"/>
    <w:rsid w:val="008544C7"/>
    <w:rsid w:val="008B1449"/>
    <w:rsid w:val="008C0F49"/>
    <w:rsid w:val="008C7910"/>
    <w:rsid w:val="008D0545"/>
    <w:rsid w:val="008D317A"/>
    <w:rsid w:val="008D5FAC"/>
    <w:rsid w:val="008D6564"/>
    <w:rsid w:val="00900DF9"/>
    <w:rsid w:val="0091483E"/>
    <w:rsid w:val="00923974"/>
    <w:rsid w:val="00931034"/>
    <w:rsid w:val="00963D43"/>
    <w:rsid w:val="009E2232"/>
    <w:rsid w:val="009F136B"/>
    <w:rsid w:val="00A10920"/>
    <w:rsid w:val="00A11CE2"/>
    <w:rsid w:val="00A13F17"/>
    <w:rsid w:val="00A33672"/>
    <w:rsid w:val="00A478C6"/>
    <w:rsid w:val="00A5074D"/>
    <w:rsid w:val="00A95EBA"/>
    <w:rsid w:val="00AA0C9F"/>
    <w:rsid w:val="00AB2C53"/>
    <w:rsid w:val="00AD0261"/>
    <w:rsid w:val="00AD1F63"/>
    <w:rsid w:val="00AE0C5E"/>
    <w:rsid w:val="00AE6CB4"/>
    <w:rsid w:val="00AF6274"/>
    <w:rsid w:val="00B15258"/>
    <w:rsid w:val="00B4219C"/>
    <w:rsid w:val="00B455B6"/>
    <w:rsid w:val="00B54BBD"/>
    <w:rsid w:val="00B65DB9"/>
    <w:rsid w:val="00C00D08"/>
    <w:rsid w:val="00C22187"/>
    <w:rsid w:val="00C72CCF"/>
    <w:rsid w:val="00C90B8B"/>
    <w:rsid w:val="00C9275B"/>
    <w:rsid w:val="00CC5F77"/>
    <w:rsid w:val="00CE23FD"/>
    <w:rsid w:val="00CF0C62"/>
    <w:rsid w:val="00CF6406"/>
    <w:rsid w:val="00D01E35"/>
    <w:rsid w:val="00D10A06"/>
    <w:rsid w:val="00D47BB5"/>
    <w:rsid w:val="00D64AF2"/>
    <w:rsid w:val="00DA4F05"/>
    <w:rsid w:val="00DD0D9D"/>
    <w:rsid w:val="00DD5376"/>
    <w:rsid w:val="00DD73E8"/>
    <w:rsid w:val="00DD77D9"/>
    <w:rsid w:val="00E208EA"/>
    <w:rsid w:val="00E47E30"/>
    <w:rsid w:val="00E775C0"/>
    <w:rsid w:val="00ED4A22"/>
    <w:rsid w:val="00EE1515"/>
    <w:rsid w:val="00F31D3E"/>
    <w:rsid w:val="00F56791"/>
    <w:rsid w:val="00F631A3"/>
    <w:rsid w:val="00F64054"/>
    <w:rsid w:val="00F82B62"/>
    <w:rsid w:val="00F87090"/>
    <w:rsid w:val="00FF1B4D"/>
    <w:rsid w:val="00FF201B"/>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44843479">
      <w:bodyDiv w:val="1"/>
      <w:marLeft w:val="0"/>
      <w:marRight w:val="0"/>
      <w:marTop w:val="0"/>
      <w:marBottom w:val="0"/>
      <w:divBdr>
        <w:top w:val="none" w:sz="0" w:space="0" w:color="auto"/>
        <w:left w:val="none" w:sz="0" w:space="0" w:color="auto"/>
        <w:bottom w:val="none" w:sz="0" w:space="0" w:color="auto"/>
        <w:right w:val="none" w:sz="0" w:space="0" w:color="auto"/>
      </w:divBdr>
    </w:div>
    <w:div w:id="182280473">
      <w:bodyDiv w:val="1"/>
      <w:marLeft w:val="0"/>
      <w:marRight w:val="0"/>
      <w:marTop w:val="0"/>
      <w:marBottom w:val="0"/>
      <w:divBdr>
        <w:top w:val="none" w:sz="0" w:space="0" w:color="auto"/>
        <w:left w:val="none" w:sz="0" w:space="0" w:color="auto"/>
        <w:bottom w:val="none" w:sz="0" w:space="0" w:color="auto"/>
        <w:right w:val="none" w:sz="0" w:space="0" w:color="auto"/>
      </w:divBdr>
    </w:div>
    <w:div w:id="216014339">
      <w:bodyDiv w:val="1"/>
      <w:marLeft w:val="0"/>
      <w:marRight w:val="0"/>
      <w:marTop w:val="0"/>
      <w:marBottom w:val="0"/>
      <w:divBdr>
        <w:top w:val="none" w:sz="0" w:space="0" w:color="auto"/>
        <w:left w:val="none" w:sz="0" w:space="0" w:color="auto"/>
        <w:bottom w:val="none" w:sz="0" w:space="0" w:color="auto"/>
        <w:right w:val="none" w:sz="0" w:space="0" w:color="auto"/>
      </w:divBdr>
    </w:div>
    <w:div w:id="367798479">
      <w:bodyDiv w:val="1"/>
      <w:marLeft w:val="0"/>
      <w:marRight w:val="0"/>
      <w:marTop w:val="0"/>
      <w:marBottom w:val="0"/>
      <w:divBdr>
        <w:top w:val="none" w:sz="0" w:space="0" w:color="auto"/>
        <w:left w:val="none" w:sz="0" w:space="0" w:color="auto"/>
        <w:bottom w:val="none" w:sz="0" w:space="0" w:color="auto"/>
        <w:right w:val="none" w:sz="0" w:space="0" w:color="auto"/>
      </w:divBdr>
    </w:div>
    <w:div w:id="386496778">
      <w:bodyDiv w:val="1"/>
      <w:marLeft w:val="0"/>
      <w:marRight w:val="0"/>
      <w:marTop w:val="0"/>
      <w:marBottom w:val="0"/>
      <w:divBdr>
        <w:top w:val="none" w:sz="0" w:space="0" w:color="auto"/>
        <w:left w:val="none" w:sz="0" w:space="0" w:color="auto"/>
        <w:bottom w:val="none" w:sz="0" w:space="0" w:color="auto"/>
        <w:right w:val="none" w:sz="0" w:space="0" w:color="auto"/>
      </w:divBdr>
    </w:div>
    <w:div w:id="518276836">
      <w:bodyDiv w:val="1"/>
      <w:marLeft w:val="0"/>
      <w:marRight w:val="0"/>
      <w:marTop w:val="0"/>
      <w:marBottom w:val="0"/>
      <w:divBdr>
        <w:top w:val="none" w:sz="0" w:space="0" w:color="auto"/>
        <w:left w:val="none" w:sz="0" w:space="0" w:color="auto"/>
        <w:bottom w:val="none" w:sz="0" w:space="0" w:color="auto"/>
        <w:right w:val="none" w:sz="0" w:space="0" w:color="auto"/>
      </w:divBdr>
    </w:div>
    <w:div w:id="577983155">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649166737">
      <w:bodyDiv w:val="1"/>
      <w:marLeft w:val="0"/>
      <w:marRight w:val="0"/>
      <w:marTop w:val="0"/>
      <w:marBottom w:val="0"/>
      <w:divBdr>
        <w:top w:val="none" w:sz="0" w:space="0" w:color="auto"/>
        <w:left w:val="none" w:sz="0" w:space="0" w:color="auto"/>
        <w:bottom w:val="none" w:sz="0" w:space="0" w:color="auto"/>
        <w:right w:val="none" w:sz="0" w:space="0" w:color="auto"/>
      </w:divBdr>
    </w:div>
    <w:div w:id="687371548">
      <w:bodyDiv w:val="1"/>
      <w:marLeft w:val="0"/>
      <w:marRight w:val="0"/>
      <w:marTop w:val="0"/>
      <w:marBottom w:val="0"/>
      <w:divBdr>
        <w:top w:val="none" w:sz="0" w:space="0" w:color="auto"/>
        <w:left w:val="none" w:sz="0" w:space="0" w:color="auto"/>
        <w:bottom w:val="none" w:sz="0" w:space="0" w:color="auto"/>
        <w:right w:val="none" w:sz="0" w:space="0" w:color="auto"/>
      </w:divBdr>
    </w:div>
    <w:div w:id="833228781">
      <w:bodyDiv w:val="1"/>
      <w:marLeft w:val="0"/>
      <w:marRight w:val="0"/>
      <w:marTop w:val="0"/>
      <w:marBottom w:val="0"/>
      <w:divBdr>
        <w:top w:val="none" w:sz="0" w:space="0" w:color="auto"/>
        <w:left w:val="none" w:sz="0" w:space="0" w:color="auto"/>
        <w:bottom w:val="none" w:sz="0" w:space="0" w:color="auto"/>
        <w:right w:val="none" w:sz="0" w:space="0" w:color="auto"/>
      </w:divBdr>
    </w:div>
    <w:div w:id="1022585926">
      <w:bodyDiv w:val="1"/>
      <w:marLeft w:val="0"/>
      <w:marRight w:val="0"/>
      <w:marTop w:val="0"/>
      <w:marBottom w:val="0"/>
      <w:divBdr>
        <w:top w:val="none" w:sz="0" w:space="0" w:color="auto"/>
        <w:left w:val="none" w:sz="0" w:space="0" w:color="auto"/>
        <w:bottom w:val="none" w:sz="0" w:space="0" w:color="auto"/>
        <w:right w:val="none" w:sz="0" w:space="0" w:color="auto"/>
      </w:divBdr>
    </w:div>
    <w:div w:id="1102799587">
      <w:bodyDiv w:val="1"/>
      <w:marLeft w:val="0"/>
      <w:marRight w:val="0"/>
      <w:marTop w:val="0"/>
      <w:marBottom w:val="0"/>
      <w:divBdr>
        <w:top w:val="none" w:sz="0" w:space="0" w:color="auto"/>
        <w:left w:val="none" w:sz="0" w:space="0" w:color="auto"/>
        <w:bottom w:val="none" w:sz="0" w:space="0" w:color="auto"/>
        <w:right w:val="none" w:sz="0" w:space="0" w:color="auto"/>
      </w:divBdr>
    </w:div>
    <w:div w:id="1117290128">
      <w:bodyDiv w:val="1"/>
      <w:marLeft w:val="0"/>
      <w:marRight w:val="0"/>
      <w:marTop w:val="0"/>
      <w:marBottom w:val="0"/>
      <w:divBdr>
        <w:top w:val="none" w:sz="0" w:space="0" w:color="auto"/>
        <w:left w:val="none" w:sz="0" w:space="0" w:color="auto"/>
        <w:bottom w:val="none" w:sz="0" w:space="0" w:color="auto"/>
        <w:right w:val="none" w:sz="0" w:space="0" w:color="auto"/>
      </w:divBdr>
    </w:div>
    <w:div w:id="1420255857">
      <w:bodyDiv w:val="1"/>
      <w:marLeft w:val="0"/>
      <w:marRight w:val="0"/>
      <w:marTop w:val="0"/>
      <w:marBottom w:val="0"/>
      <w:divBdr>
        <w:top w:val="none" w:sz="0" w:space="0" w:color="auto"/>
        <w:left w:val="none" w:sz="0" w:space="0" w:color="auto"/>
        <w:bottom w:val="none" w:sz="0" w:space="0" w:color="auto"/>
        <w:right w:val="none" w:sz="0" w:space="0" w:color="auto"/>
      </w:divBdr>
    </w:div>
    <w:div w:id="1533497883">
      <w:bodyDiv w:val="1"/>
      <w:marLeft w:val="0"/>
      <w:marRight w:val="0"/>
      <w:marTop w:val="0"/>
      <w:marBottom w:val="0"/>
      <w:divBdr>
        <w:top w:val="none" w:sz="0" w:space="0" w:color="auto"/>
        <w:left w:val="none" w:sz="0" w:space="0" w:color="auto"/>
        <w:bottom w:val="none" w:sz="0" w:space="0" w:color="auto"/>
        <w:right w:val="none" w:sz="0" w:space="0" w:color="auto"/>
      </w:divBdr>
    </w:div>
    <w:div w:id="1534615787">
      <w:bodyDiv w:val="1"/>
      <w:marLeft w:val="0"/>
      <w:marRight w:val="0"/>
      <w:marTop w:val="0"/>
      <w:marBottom w:val="0"/>
      <w:divBdr>
        <w:top w:val="none" w:sz="0" w:space="0" w:color="auto"/>
        <w:left w:val="none" w:sz="0" w:space="0" w:color="auto"/>
        <w:bottom w:val="none" w:sz="0" w:space="0" w:color="auto"/>
        <w:right w:val="none" w:sz="0" w:space="0" w:color="auto"/>
      </w:divBdr>
    </w:div>
    <w:div w:id="1555777416">
      <w:bodyDiv w:val="1"/>
      <w:marLeft w:val="0"/>
      <w:marRight w:val="0"/>
      <w:marTop w:val="0"/>
      <w:marBottom w:val="0"/>
      <w:divBdr>
        <w:top w:val="none" w:sz="0" w:space="0" w:color="auto"/>
        <w:left w:val="none" w:sz="0" w:space="0" w:color="auto"/>
        <w:bottom w:val="none" w:sz="0" w:space="0" w:color="auto"/>
        <w:right w:val="none" w:sz="0" w:space="0" w:color="auto"/>
      </w:divBdr>
    </w:div>
    <w:div w:id="1675184133">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1939754155">
      <w:bodyDiv w:val="1"/>
      <w:marLeft w:val="0"/>
      <w:marRight w:val="0"/>
      <w:marTop w:val="0"/>
      <w:marBottom w:val="0"/>
      <w:divBdr>
        <w:top w:val="none" w:sz="0" w:space="0" w:color="auto"/>
        <w:left w:val="none" w:sz="0" w:space="0" w:color="auto"/>
        <w:bottom w:val="none" w:sz="0" w:space="0" w:color="auto"/>
        <w:right w:val="none" w:sz="0" w:space="0" w:color="auto"/>
      </w:divBdr>
    </w:div>
    <w:div w:id="2015456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1124</Words>
  <Characters>6410</Characters>
  <Application>Microsoft Office Word</Application>
  <DocSecurity>0</DocSecurity>
  <Lines>53</Lines>
  <Paragraphs>15</Paragraphs>
  <ScaleCrop>false</ScaleCrop>
  <Company>Microsoft</Company>
  <LinksUpToDate>false</LinksUpToDate>
  <CharactersWithSpaces>7519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2024-06-19T08:28:00Z</dcterms:created>
  <dcterms:modified xsi:type="dcterms:W3CDTF">2024-06-19T08:28:00Z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