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pPr>
      <w:bookmarkStart w:id="0" w:name="_Toc418070112"/>
      <w:bookmarkStart w:id="1" w:name="OLE_LINK39"/>
      <w:bookmarkStart w:id="2" w:name="_Toc415142861"/>
      <w:bookmarkStart w:id="3" w:name="OLE_LINK24"/>
      <w:bookmarkStart w:id="4" w:name="_Toc481801204"/>
      <w:bookmarkStart w:id="5" w:name="_Toc517262917"/>
      <w:bookmarkStart w:id="6" w:name="_Toc453597319"/>
      <w:bookmarkStart w:id="7" w:name="OLE_LINK15"/>
      <w:bookmarkStart w:id="8" w:name="OLE_LINK13"/>
      <w:bookmarkStart w:id="9" w:name="OLE_LINK40"/>
      <w:bookmarkStart w:id="10" w:name="_Toc415818939"/>
      <w:bookmarkStart w:id="11" w:name="_Toc438987549"/>
      <w:bookmarkStart w:id="12" w:name="_Toc415143481"/>
      <w:r>
        <w:rPr>
          <w:rFonts w:hint="eastAsia"/>
          <w:lang w:eastAsia="zh-CN"/>
        </w:rPr>
        <w:t>计算机辅助翻译软件市场总体规模</w:t>
      </w:r>
    </w:p>
    <w:p>
      <w:pPr>
        <w:rPr>
          <w:rFonts w:hint="eastAsia"/>
          <w:lang w:eastAsia="zh-CN"/>
        </w:rPr>
      </w:pPr>
      <w:r>
        <w:rPr>
          <w:rFonts w:hint="eastAsia"/>
          <w:lang w:eastAsia="zh-CN"/>
        </w:rPr>
        <w:t>计算机辅助翻译( CAT )，也称为机器辅助翻译( MAT ) 或机器辅助人工翻译( MAHT )，是使用软件在翻译过程中协助人工翻译。翻译由人工创建，过程的某些方面由软件促进；这与机器翻译(MT)形成对比，在机器翻译(MT) 中，翻译由计算机创建，可选择进行一些人工干预（例如预编辑和后编辑）。</w:t>
      </w:r>
    </w:p>
    <w:p>
      <w:pPr>
        <w:rPr>
          <w:rFonts w:hint="eastAsia"/>
          <w:lang w:eastAsia="zh-CN"/>
        </w:rPr>
      </w:pPr>
    </w:p>
    <w:p>
      <w:pPr>
        <w:rPr>
          <w:rFonts w:hint="eastAsia"/>
          <w:lang w:eastAsia="zh-CN"/>
        </w:rPr>
      </w:pPr>
      <w:r>
        <w:rPr>
          <w:rFonts w:hint="eastAsia"/>
          <w:lang w:eastAsia="zh-CN"/>
        </w:rPr>
        <w:t>CAT 工具通常被理解为专门促进实际翻译过程的程序。大多数 CAT 工具具有 (a)在单个编辑环境中翻译各种源文件格式的能力，而无需在大部分或全部翻译过程中使用文件格式的相关软件，(b) 翻译记忆库，以及 (c)各种实用程序或流程的集成，以提高翻译的生产力和一致性。</w:t>
      </w:r>
    </w:p>
    <w:p>
      <w:pPr>
        <w:rPr>
          <w:rFonts w:hint="eastAsia"/>
          <w:lang w:eastAsia="zh-CN"/>
        </w:rPr>
      </w:pPr>
    </w:p>
    <w:p>
      <w:pPr>
        <w:rPr>
          <w:lang w:eastAsia="zh-CN"/>
        </w:rPr>
      </w:pPr>
      <w:r>
        <w:rPr>
          <w:rFonts w:hint="eastAsia"/>
          <w:lang w:eastAsia="zh-CN"/>
        </w:rPr>
        <w:t>据QYResearch调研团队最新报告“全球计算机辅助翻译软件市场报告2023-2029”显示，预计2029年全球计算机辅助翻译软件市场规模将达到11.6亿美元，未来几年年复合增长率CAGR为16.1%。</w:t>
      </w:r>
    </w:p>
    <w:p>
      <w:pPr>
        <w:pStyle w:val="148"/>
      </w:pPr>
      <w:r>
        <w:rPr>
          <w:rFonts w:hint="eastAsia"/>
          <w:lang w:eastAsia="zh-CN"/>
        </w:rPr>
        <w:t>计算机辅助翻译软件，全球市场总体规模，预计2</w:t>
      </w:r>
      <w:r>
        <w:rPr>
          <w:lang w:eastAsia="zh-CN"/>
        </w:rPr>
        <w:t>029</w:t>
      </w:r>
      <w:r>
        <w:rPr>
          <w:rFonts w:hint="eastAsia"/>
          <w:lang w:eastAsia="zh-CN"/>
        </w:rPr>
        <w:t>年达到</w:t>
      </w:r>
      <w:r>
        <w:rPr>
          <w:rFonts w:hint="eastAsia"/>
          <w:lang w:val="en-US" w:eastAsia="zh-CN"/>
        </w:rPr>
        <w:t>11.6</w:t>
      </w:r>
      <w:r>
        <w:rPr>
          <w:rFonts w:hint="eastAsia"/>
          <w:lang w:eastAsia="zh-CN"/>
        </w:rPr>
        <w:t>亿美元</w:t>
      </w:r>
    </w:p>
    <w:p>
      <w:pPr>
        <w:pStyle w:val="145"/>
      </w:pPr>
      <w:r>
        <w:drawing>
          <wp:inline distT="0" distB="0" distL="114300" distR="114300">
            <wp:extent cx="6188710" cy="2936240"/>
            <wp:effectExtent l="0" t="0" r="2540" b="1651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pPr>
      <w:r>
        <w:rPr>
          <w:rFonts w:hint="eastAsia"/>
          <w:lang w:eastAsia="zh-CN"/>
        </w:rPr>
        <w:t>如上图表/数据，摘自QYResearch最新报告“</w:t>
      </w:r>
      <w:r>
        <w:rPr>
          <w:rFonts w:hint="eastAsia"/>
        </w:rPr>
        <w:t>全球</w:t>
      </w:r>
      <w:r>
        <w:rPr>
          <w:rFonts w:hint="eastAsia"/>
          <w:lang w:eastAsia="zh-CN"/>
        </w:rPr>
        <w:t>计算机辅助翻译软件</w:t>
      </w:r>
      <w:r>
        <w:rPr>
          <w:rFonts w:hint="eastAsia"/>
        </w:rPr>
        <w:t>市场研究报告2023-2029</w:t>
      </w:r>
      <w:r>
        <w:t>.</w:t>
      </w:r>
    </w:p>
    <w:p>
      <w:pPr>
        <w:pStyle w:val="145"/>
      </w:pPr>
    </w:p>
    <w:p>
      <w:pPr>
        <w:pStyle w:val="148"/>
        <w:rPr>
          <w:lang w:eastAsia="zh-CN"/>
        </w:rPr>
      </w:pPr>
      <w:r>
        <w:rPr>
          <w:rFonts w:hint="eastAsia"/>
          <w:lang w:eastAsia="zh-CN"/>
        </w:rPr>
        <w:t>全球计算机辅助翻译软件市场前</w:t>
      </w:r>
      <w:r>
        <w:rPr>
          <w:rFonts w:hint="eastAsia"/>
          <w:lang w:val="en-US" w:eastAsia="zh-CN"/>
        </w:rPr>
        <w:t>15</w:t>
      </w:r>
      <w:r>
        <w:rPr>
          <w:rFonts w:hint="eastAsia"/>
          <w:lang w:eastAsia="zh-CN"/>
        </w:rPr>
        <w:t>强生产商排名及市场占有率（2</w:t>
      </w:r>
      <w:r>
        <w:rPr>
          <w:lang w:eastAsia="zh-CN"/>
        </w:rPr>
        <w:t>021</w:t>
      </w:r>
      <w:r>
        <w:rPr>
          <w:rFonts w:hint="eastAsia"/>
          <w:lang w:eastAsia="zh-CN"/>
        </w:rPr>
        <w:t>数据，持续更新）</w:t>
      </w:r>
    </w:p>
    <w:p>
      <w:pPr>
        <w:pStyle w:val="145"/>
        <w:jc w:val="center"/>
      </w:pPr>
      <w:r>
        <w:drawing>
          <wp:inline distT="0" distB="0" distL="114300" distR="114300">
            <wp:extent cx="4572000" cy="3647440"/>
            <wp:effectExtent l="0" t="0" r="0" b="10160"/>
            <wp:docPr id="18"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pPr>
      <w:r>
        <w:rPr>
          <w:rFonts w:hint="eastAsia"/>
          <w:lang w:eastAsia="zh-CN"/>
        </w:rPr>
        <w:t>如上图表/数据，摘自QYResearch最新报告“</w:t>
      </w:r>
      <w:r>
        <w:rPr>
          <w:rFonts w:hint="eastAsia"/>
        </w:rPr>
        <w:t>全球</w:t>
      </w:r>
      <w:r>
        <w:rPr>
          <w:rFonts w:hint="eastAsia"/>
          <w:lang w:eastAsia="zh-CN"/>
        </w:rPr>
        <w:t>计算机辅助翻译软件</w:t>
      </w:r>
      <w:r>
        <w:rPr>
          <w:rFonts w:hint="eastAsia"/>
        </w:rPr>
        <w:t>市场研究报告2023-2029</w:t>
      </w:r>
      <w:r>
        <w:rPr>
          <w:rFonts w:hint="eastAsia"/>
          <w:lang w:eastAsia="zh-CN"/>
        </w:rPr>
        <w:t>中的2</w:t>
      </w:r>
      <w:r>
        <w:rPr>
          <w:lang w:eastAsia="zh-CN"/>
        </w:rPr>
        <w:t>021</w:t>
      </w:r>
      <w:r>
        <w:rPr>
          <w:rFonts w:hint="eastAsia"/>
          <w:lang w:eastAsia="zh-CN"/>
        </w:rPr>
        <w:t>年数据</w:t>
      </w:r>
      <w:r>
        <w:t>.</w:t>
      </w:r>
    </w:p>
    <w:p>
      <w:pPr>
        <w:pStyle w:val="145"/>
        <w:rPr>
          <w:rFonts w:hint="eastAsia"/>
          <w:lang w:eastAsia="zh-CN"/>
        </w:rPr>
      </w:pPr>
      <w:r>
        <w:rPr>
          <w:rFonts w:hint="eastAsia"/>
          <w:lang w:eastAsia="zh-CN"/>
        </w:rPr>
        <w:t>全球范围内计算机辅助翻译软件生产商主要包括RWS Group、优译信息、Across、雪人CAT、Star Transit、Smartcat、TransPerfect、MemoQ、Lionbridge、LanguageWire 等。2021年，全球前五大厂商占有大约8.0%的市场份额。</w:t>
      </w:r>
    </w:p>
    <w:p>
      <w:pPr>
        <w:pStyle w:val="145"/>
      </w:pPr>
      <w:r>
        <w:br w:type="page"/>
      </w: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r>
        <w:rPr>
          <w:rFonts w:hint="eastAsia"/>
          <w:lang w:eastAsia="zh-CN"/>
        </w:rPr>
        <w:t>2023年全球</w:t>
      </w:r>
      <w:bookmarkStart w:id="13" w:name="_GoBack"/>
      <w:r>
        <w:rPr>
          <w:rFonts w:hint="eastAsia"/>
          <w:lang w:eastAsia="zh-CN"/>
        </w:rPr>
        <w:t>计算机辅助翻译软件行业总体规模、主要企业国内外市场占有率及排名</w:t>
      </w:r>
    </w:p>
    <w:bookmarkEnd w:id="13"/>
    <w:p>
      <w:pPr>
        <w:pStyle w:val="145"/>
        <w:rPr>
          <w:rFonts w:hint="eastAsia"/>
          <w:lang w:eastAsia="zh-CN"/>
        </w:rPr>
      </w:pPr>
      <w:r>
        <w:rPr>
          <w:rFonts w:hint="eastAsia"/>
          <w:lang w:eastAsia="zh-CN"/>
        </w:rPr>
        <w:t>本文侧重研究全球计算机辅助翻译软件总体规模及主要厂商占有率和排名，主要统计指标包括计算机辅助翻译软件业务收入、市场份额及排名等，企业数据主要侧重近三年行业内主要厂商的市场销售情况。地区层面，主要分析过去五年和未来五年行业内主要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RWS Group</w:t>
      </w:r>
    </w:p>
    <w:p>
      <w:pPr>
        <w:pStyle w:val="145"/>
        <w:rPr>
          <w:rFonts w:hint="eastAsia"/>
          <w:lang w:eastAsia="zh-CN"/>
        </w:rPr>
      </w:pPr>
      <w:r>
        <w:rPr>
          <w:rFonts w:hint="eastAsia"/>
          <w:lang w:eastAsia="zh-CN"/>
        </w:rPr>
        <w:t xml:space="preserve">    Across</w:t>
      </w:r>
    </w:p>
    <w:p>
      <w:pPr>
        <w:pStyle w:val="145"/>
        <w:rPr>
          <w:rFonts w:hint="eastAsia"/>
          <w:lang w:eastAsia="zh-CN"/>
        </w:rPr>
      </w:pPr>
      <w:r>
        <w:rPr>
          <w:rFonts w:hint="eastAsia"/>
          <w:lang w:eastAsia="zh-CN"/>
        </w:rPr>
        <w:t xml:space="preserve">    Star Transit</w:t>
      </w:r>
    </w:p>
    <w:p>
      <w:pPr>
        <w:pStyle w:val="145"/>
        <w:rPr>
          <w:rFonts w:hint="eastAsia"/>
          <w:lang w:eastAsia="zh-CN"/>
        </w:rPr>
      </w:pPr>
      <w:r>
        <w:rPr>
          <w:rFonts w:hint="eastAsia"/>
          <w:lang w:eastAsia="zh-CN"/>
        </w:rPr>
        <w:t xml:space="preserve">    Smartcat</w:t>
      </w:r>
    </w:p>
    <w:p>
      <w:pPr>
        <w:pStyle w:val="145"/>
        <w:rPr>
          <w:rFonts w:hint="eastAsia"/>
          <w:lang w:eastAsia="zh-CN"/>
        </w:rPr>
      </w:pPr>
      <w:r>
        <w:rPr>
          <w:rFonts w:hint="eastAsia"/>
          <w:lang w:eastAsia="zh-CN"/>
        </w:rPr>
        <w:t xml:space="preserve">    TransPerfect</w:t>
      </w:r>
    </w:p>
    <w:p>
      <w:pPr>
        <w:pStyle w:val="145"/>
        <w:rPr>
          <w:rFonts w:hint="eastAsia"/>
          <w:lang w:eastAsia="zh-CN"/>
        </w:rPr>
      </w:pPr>
      <w:r>
        <w:rPr>
          <w:rFonts w:hint="eastAsia"/>
          <w:lang w:eastAsia="zh-CN"/>
        </w:rPr>
        <w:t xml:space="preserve">    Lionbridge</w:t>
      </w:r>
    </w:p>
    <w:p>
      <w:pPr>
        <w:pStyle w:val="145"/>
        <w:rPr>
          <w:rFonts w:hint="eastAsia"/>
          <w:lang w:eastAsia="zh-CN"/>
        </w:rPr>
      </w:pPr>
      <w:r>
        <w:rPr>
          <w:rFonts w:hint="eastAsia"/>
          <w:lang w:eastAsia="zh-CN"/>
        </w:rPr>
        <w:t xml:space="preserve">    LanguageWire</w:t>
      </w:r>
    </w:p>
    <w:p>
      <w:pPr>
        <w:pStyle w:val="145"/>
        <w:rPr>
          <w:rFonts w:hint="eastAsia"/>
          <w:lang w:eastAsia="zh-CN"/>
        </w:rPr>
      </w:pPr>
      <w:r>
        <w:rPr>
          <w:rFonts w:hint="eastAsia"/>
          <w:lang w:eastAsia="zh-CN"/>
        </w:rPr>
        <w:t xml:space="preserve">    XTM Cloud</w:t>
      </w:r>
    </w:p>
    <w:p>
      <w:pPr>
        <w:pStyle w:val="145"/>
        <w:rPr>
          <w:rFonts w:hint="eastAsia"/>
          <w:lang w:eastAsia="zh-CN"/>
        </w:rPr>
      </w:pPr>
      <w:r>
        <w:rPr>
          <w:rFonts w:hint="eastAsia"/>
          <w:lang w:eastAsia="zh-CN"/>
        </w:rPr>
        <w:t xml:space="preserve">    MemoQ</w:t>
      </w:r>
    </w:p>
    <w:p>
      <w:pPr>
        <w:pStyle w:val="145"/>
        <w:rPr>
          <w:rFonts w:hint="eastAsia"/>
          <w:lang w:eastAsia="zh-CN"/>
        </w:rPr>
      </w:pPr>
      <w:r>
        <w:rPr>
          <w:rFonts w:hint="eastAsia"/>
          <w:lang w:eastAsia="zh-CN"/>
        </w:rPr>
        <w:t xml:space="preserve">    Memsource</w:t>
      </w:r>
    </w:p>
    <w:p>
      <w:pPr>
        <w:pStyle w:val="145"/>
        <w:rPr>
          <w:rFonts w:hint="eastAsia"/>
          <w:lang w:eastAsia="zh-CN"/>
        </w:rPr>
      </w:pPr>
      <w:r>
        <w:rPr>
          <w:rFonts w:hint="eastAsia"/>
          <w:lang w:eastAsia="zh-CN"/>
        </w:rPr>
        <w:t xml:space="preserve">    Wordfast</w:t>
      </w:r>
    </w:p>
    <w:p>
      <w:pPr>
        <w:pStyle w:val="145"/>
        <w:rPr>
          <w:rFonts w:hint="eastAsia"/>
          <w:lang w:eastAsia="zh-CN"/>
        </w:rPr>
      </w:pPr>
      <w:r>
        <w:rPr>
          <w:rFonts w:hint="eastAsia"/>
          <w:lang w:eastAsia="zh-CN"/>
        </w:rPr>
        <w:t xml:space="preserve">    优译信息</w:t>
      </w:r>
    </w:p>
    <w:p>
      <w:pPr>
        <w:pStyle w:val="145"/>
        <w:rPr>
          <w:rFonts w:hint="eastAsia"/>
          <w:lang w:eastAsia="zh-CN"/>
        </w:rPr>
      </w:pPr>
      <w:r>
        <w:rPr>
          <w:rFonts w:hint="eastAsia"/>
          <w:lang w:eastAsia="zh-CN"/>
        </w:rPr>
        <w:t xml:space="preserve">    Heartsome</w:t>
      </w:r>
    </w:p>
    <w:p>
      <w:pPr>
        <w:pStyle w:val="145"/>
        <w:rPr>
          <w:rFonts w:hint="eastAsia"/>
          <w:lang w:eastAsia="zh-CN"/>
        </w:rPr>
      </w:pPr>
      <w:r>
        <w:rPr>
          <w:rFonts w:hint="eastAsia"/>
          <w:lang w:eastAsia="zh-CN"/>
        </w:rPr>
        <w:t xml:space="preserve">    Déjà Vu</w:t>
      </w:r>
    </w:p>
    <w:p>
      <w:pPr>
        <w:pStyle w:val="145"/>
        <w:rPr>
          <w:rFonts w:hint="eastAsia"/>
          <w:lang w:eastAsia="zh-CN"/>
        </w:rPr>
      </w:pPr>
      <w:r>
        <w:rPr>
          <w:rFonts w:hint="eastAsia"/>
          <w:lang w:eastAsia="zh-CN"/>
        </w:rPr>
        <w:t xml:space="preserve">    雪人CAT</w:t>
      </w:r>
    </w:p>
    <w:p>
      <w:pPr>
        <w:pStyle w:val="145"/>
        <w:rPr>
          <w:rFonts w:hint="eastAsia"/>
          <w:lang w:eastAsia="zh-CN"/>
        </w:rPr>
      </w:pPr>
      <w:r>
        <w:rPr>
          <w:rFonts w:hint="eastAsia"/>
          <w:lang w:eastAsia="zh-CN"/>
        </w:rPr>
        <w:t>按照不同许可方式，包括如下几个类别：</w:t>
      </w:r>
    </w:p>
    <w:p>
      <w:pPr>
        <w:pStyle w:val="145"/>
        <w:rPr>
          <w:rFonts w:hint="eastAsia"/>
          <w:lang w:eastAsia="zh-CN"/>
        </w:rPr>
      </w:pPr>
      <w:r>
        <w:rPr>
          <w:rFonts w:hint="eastAsia"/>
          <w:lang w:eastAsia="zh-CN"/>
        </w:rPr>
        <w:t xml:space="preserve">    订阅许可证</w:t>
      </w:r>
    </w:p>
    <w:p>
      <w:pPr>
        <w:pStyle w:val="145"/>
        <w:rPr>
          <w:rFonts w:hint="eastAsia"/>
          <w:lang w:eastAsia="zh-CN"/>
        </w:rPr>
      </w:pPr>
      <w:r>
        <w:rPr>
          <w:rFonts w:hint="eastAsia"/>
          <w:lang w:eastAsia="zh-CN"/>
        </w:rPr>
        <w:t xml:space="preserve">    永久性许可证</w:t>
      </w:r>
    </w:p>
    <w:p>
      <w:pPr>
        <w:pStyle w:val="145"/>
        <w:rPr>
          <w:rFonts w:hint="eastAsia"/>
          <w:lang w:eastAsia="zh-CN"/>
        </w:rPr>
      </w:pPr>
      <w:r>
        <w:rPr>
          <w:rFonts w:hint="eastAsia"/>
          <w:lang w:eastAsia="zh-CN"/>
        </w:rPr>
        <w:t>按照不同终端用户，包括如下几个方面：</w:t>
      </w:r>
    </w:p>
    <w:p>
      <w:pPr>
        <w:pStyle w:val="145"/>
        <w:rPr>
          <w:rFonts w:hint="eastAsia"/>
          <w:lang w:eastAsia="zh-CN"/>
        </w:rPr>
      </w:pPr>
      <w:r>
        <w:rPr>
          <w:rFonts w:hint="eastAsia"/>
          <w:lang w:eastAsia="zh-CN"/>
        </w:rPr>
        <w:t xml:space="preserve">    大企业</w:t>
      </w:r>
    </w:p>
    <w:p>
      <w:pPr>
        <w:pStyle w:val="145"/>
        <w:rPr>
          <w:rFonts w:hint="eastAsia"/>
          <w:lang w:eastAsia="zh-CN"/>
        </w:rPr>
      </w:pPr>
      <w:r>
        <w:rPr>
          <w:rFonts w:hint="eastAsia"/>
          <w:lang w:eastAsia="zh-CN"/>
        </w:rPr>
        <w:t xml:space="preserve">    中小企业</w:t>
      </w:r>
    </w:p>
    <w:p>
      <w:pPr>
        <w:pStyle w:val="145"/>
        <w:rPr>
          <w:rFonts w:hint="eastAsia"/>
          <w:lang w:eastAsia="zh-CN"/>
        </w:rPr>
      </w:pPr>
      <w:r>
        <w:rPr>
          <w:rFonts w:hint="eastAsia"/>
          <w:lang w:eastAsia="zh-CN"/>
        </w:rPr>
        <w:t xml:space="preserve">    其他</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中国</w:t>
      </w:r>
    </w:p>
    <w:p>
      <w:pPr>
        <w:pStyle w:val="145"/>
        <w:rPr>
          <w:rFonts w:hint="eastAsia"/>
          <w:lang w:eastAsia="zh-CN"/>
        </w:rPr>
      </w:pPr>
      <w:r>
        <w:rPr>
          <w:rFonts w:hint="eastAsia"/>
          <w:lang w:eastAsia="zh-CN"/>
        </w:rPr>
        <w:t xml:space="preserve">    日本</w:t>
      </w:r>
    </w:p>
    <w:p>
      <w:pPr>
        <w:pStyle w:val="145"/>
        <w:rPr>
          <w:rFonts w:hint="eastAsia"/>
          <w:lang w:eastAsia="zh-CN"/>
        </w:rPr>
      </w:pPr>
      <w:r>
        <w:rPr>
          <w:rFonts w:hint="eastAsia"/>
          <w:lang w:eastAsia="zh-CN"/>
        </w:rPr>
        <w:t xml:space="preserve">    东南亚</w:t>
      </w:r>
    </w:p>
    <w:p>
      <w:pPr>
        <w:pStyle w:val="145"/>
        <w:rPr>
          <w:rFonts w:hint="eastAsia"/>
          <w:lang w:eastAsia="zh-CN"/>
        </w:rPr>
      </w:pPr>
      <w:r>
        <w:rPr>
          <w:rFonts w:hint="eastAsia"/>
          <w:lang w:eastAsia="zh-CN"/>
        </w:rPr>
        <w:t xml:space="preserve">    印度</w:t>
      </w:r>
    </w:p>
    <w:p>
      <w:pPr>
        <w:pStyle w:val="145"/>
        <w:rPr>
          <w:rFonts w:hint="eastAsia"/>
          <w:lang w:eastAsia="zh-CN"/>
        </w:rPr>
      </w:pPr>
      <w:r>
        <w:rPr>
          <w:rFonts w:hint="eastAsia"/>
          <w:lang w:eastAsia="zh-CN"/>
        </w:rPr>
        <w:t>本文正文共9章，各章节主要内容如下：</w:t>
      </w:r>
    </w:p>
    <w:p>
      <w:pPr>
        <w:pStyle w:val="145"/>
        <w:rPr>
          <w:rFonts w:hint="eastAsia"/>
          <w:lang w:eastAsia="zh-CN"/>
        </w:rPr>
      </w:pPr>
      <w:r>
        <w:rPr>
          <w:rFonts w:hint="eastAsia"/>
          <w:lang w:eastAsia="zh-CN"/>
        </w:rPr>
        <w:t>第1章：报告统计范围、所属行业、全球及中国总体规模</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第3章：全球计算机辅助翻译软件主要地区市场规模及份额等</w:t>
      </w:r>
    </w:p>
    <w:p>
      <w:pPr>
        <w:pStyle w:val="145"/>
        <w:rPr>
          <w:rFonts w:hint="eastAsia"/>
          <w:lang w:eastAsia="zh-CN"/>
        </w:rPr>
      </w:pPr>
      <w:r>
        <w:rPr>
          <w:rFonts w:hint="eastAsia"/>
          <w:lang w:eastAsia="zh-CN"/>
        </w:rPr>
        <w:t>第4章：按许可方式细分，全球计算机辅助翻译软件市场规模及份额等</w:t>
      </w:r>
    </w:p>
    <w:p>
      <w:pPr>
        <w:pStyle w:val="145"/>
        <w:rPr>
          <w:rFonts w:hint="eastAsia"/>
          <w:lang w:eastAsia="zh-CN"/>
        </w:rPr>
      </w:pPr>
      <w:r>
        <w:rPr>
          <w:rFonts w:hint="eastAsia"/>
          <w:lang w:eastAsia="zh-CN"/>
        </w:rPr>
        <w:t>第5章：按终端用户细分，全球计算机辅助翻译软件市场规模及份额等</w:t>
      </w:r>
    </w:p>
    <w:p>
      <w:pPr>
        <w:pStyle w:val="145"/>
        <w:rPr>
          <w:rFonts w:hint="eastAsia"/>
          <w:lang w:eastAsia="zh-CN"/>
        </w:rPr>
      </w:pPr>
      <w:r>
        <w:rPr>
          <w:rFonts w:hint="eastAsia"/>
          <w:lang w:eastAsia="zh-CN"/>
        </w:rPr>
        <w:t>第6章：全球主要企业基本情况介绍，包括公司简介、计算机辅助翻译软件产品、收入及最新动态等</w:t>
      </w:r>
    </w:p>
    <w:p>
      <w:pPr>
        <w:pStyle w:val="145"/>
        <w:rPr>
          <w:rFonts w:hint="eastAsia"/>
          <w:lang w:eastAsia="zh-CN"/>
        </w:rPr>
      </w:pPr>
      <w:r>
        <w:rPr>
          <w:rFonts w:hint="eastAsia"/>
          <w:lang w:eastAsia="zh-CN"/>
        </w:rPr>
        <w:t>第7章：行业发展趋势、驱动因素、行业政策等</w:t>
      </w:r>
    </w:p>
    <w:p>
      <w:pPr>
        <w:pStyle w:val="145"/>
        <w:rPr>
          <w:rFonts w:hint="eastAsia"/>
          <w:lang w:eastAsia="zh-CN"/>
        </w:rPr>
      </w:pPr>
      <w:r>
        <w:rPr>
          <w:rFonts w:hint="eastAsia"/>
          <w:lang w:eastAsia="zh-CN"/>
        </w:rPr>
        <w:t>第8章：产业链、上下游分析、生产模式、销售，模式及销售渠道分析等</w:t>
      </w:r>
    </w:p>
    <w:p>
      <w:pPr>
        <w:pStyle w:val="145"/>
        <w:rPr>
          <w:rFonts w:hint="eastAsia"/>
          <w:lang w:eastAsia="zh-CN"/>
        </w:rPr>
      </w:pPr>
      <w:r>
        <w:rPr>
          <w:rFonts w:hint="eastAsia"/>
          <w:lang w:eastAsia="zh-CN"/>
        </w:rPr>
        <w:t>第9章：报告结论</w:t>
      </w:r>
    </w:p>
    <w:p>
      <w:pPr>
        <w:pStyle w:val="145"/>
        <w:rPr>
          <w:rFonts w:hint="eastAsia"/>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altName w:val="Yu Gothic UI"/>
    <w:panose1 w:val="020B0502020202020204"/>
    <w:charset w:val="00"/>
    <w:family w:val="swiss"/>
    <w:pitch w:val="default"/>
    <w:sig w:usb0="00000000" w:usb1="00000000" w:usb2="00000000" w:usb3="00000000" w:csb0="2000009F" w:csb1="DFD70000"/>
  </w:font>
  <w:font w:name="Franklin Gothic Demi">
    <w:altName w:val="Yu Gothic UI Semibold"/>
    <w:panose1 w:val="020B0703020102020204"/>
    <w:charset w:val="00"/>
    <w:family w:val="swiss"/>
    <w:pitch w:val="default"/>
    <w:sig w:usb0="00000000"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p>
    <w:pPr>
      <w:pStyle w:val="2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C4D"/>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809"/>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83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39"/>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797"/>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1B0"/>
    <w:rsid w:val="006E42A7"/>
    <w:rsid w:val="006E4324"/>
    <w:rsid w:val="006E464C"/>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AA"/>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8ED"/>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627"/>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93A"/>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97C"/>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19"/>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4F"/>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67F"/>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2FD4578"/>
    <w:rsid w:val="0A67379F"/>
    <w:rsid w:val="11840F07"/>
    <w:rsid w:val="14CB3DD9"/>
    <w:rsid w:val="1C2638BB"/>
    <w:rsid w:val="344375DE"/>
    <w:rsid w:val="34C26C1E"/>
    <w:rsid w:val="37635EED"/>
    <w:rsid w:val="3BF249E7"/>
    <w:rsid w:val="4096281B"/>
    <w:rsid w:val="40BA6EBE"/>
    <w:rsid w:val="47874069"/>
    <w:rsid w:val="50966E45"/>
    <w:rsid w:val="54C25C1B"/>
    <w:rsid w:val="55A77192"/>
    <w:rsid w:val="560143A9"/>
    <w:rsid w:val="57FF3E6E"/>
    <w:rsid w:val="5C1916A5"/>
    <w:rsid w:val="5DF55733"/>
    <w:rsid w:val="6012002C"/>
    <w:rsid w:val="65062F7B"/>
    <w:rsid w:val="713524C7"/>
    <w:rsid w:val="76D743F1"/>
    <w:rsid w:val="7E9446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00" w:after="20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C:\Users\admin\Documents\tencent%20files\2537702024\filerecv\&#35266;&#28857;&#25968;&#25454;&#22270;&#34920;&#27169;&#26495;-&#20840;&#29699;20230927%20&#23454;&#20064;&#21516;&#23398;(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Documents\tencent%20files\2537702024\filerecv\&#35266;&#28857;&#25968;&#25454;&#22270;&#34920;&#27169;&#26495;-&#20840;&#29699;20230927%20&#23454;&#20064;&#21516;&#23398;(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altLang="en-US" sz="1100">
                <a:latin typeface="Book Antiqua" panose="02040602050305030304" pitchFamily="1" charset="0"/>
              </a:rPr>
              <a:t>全球市场规模（百万美元）</a:t>
            </a:r>
            <a:endParaRPr lang="en-US" altLang="zh-CN" sz="1100">
              <a:latin typeface="Book Antiqua" panose="02040602050305030304" pitchFamily="1" charset="0"/>
            </a:endParaRPr>
          </a:p>
        </c:rich>
      </c:tx>
      <c:layout>
        <c:manualLayout>
          <c:xMode val="edge"/>
          <c:yMode val="edge"/>
          <c:x val="0.372673849167483"/>
          <c:y val="0.0249117708117085"/>
        </c:manualLayout>
      </c:layout>
      <c:overlay val="0"/>
      <c:spPr>
        <a:noFill/>
        <a:ln>
          <a:noFill/>
        </a:ln>
        <a:effectLst/>
      </c:spPr>
    </c:title>
    <c:autoTitleDeleted val="0"/>
    <c:plotArea>
      <c:layout>
        <c:manualLayout>
          <c:layoutTarget val="inner"/>
          <c:xMode val="edge"/>
          <c:yMode val="edge"/>
          <c:x val="0.052921730087907"/>
          <c:y val="0.113841104625366"/>
          <c:w val="0.937283950617284"/>
          <c:h val="0.793030392156863"/>
        </c:manualLayout>
      </c:layout>
      <c:barChart>
        <c:barDir val="col"/>
        <c:grouping val="clustered"/>
        <c:varyColors val="0"/>
        <c:ser>
          <c:idx val="0"/>
          <c:order val="0"/>
          <c:tx>
            <c:strRef>
              <c:f>'[观点数据图表模板-全球20230927 实习同学(1).xlsx]全球总体'!$A$22</c:f>
              <c:strCache>
                <c:ptCount val="1"/>
                <c:pt idx="0">
                  <c:v>Global Market Size ($ Mn)</c:v>
                </c:pt>
              </c:strCache>
            </c:strRef>
          </c:tx>
          <c:spPr>
            <a:solidFill>
              <a:srgbClr val="002060"/>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'[观点数据图表模板-全球20230927 实习同学(1).xlsx]全球总体'!$B$21:$D$21</c:f>
              <c:numCache>
                <c:formatCode>General</c:formatCode>
                <c:ptCount val="3"/>
                <c:pt idx="0">
                  <c:v>2018</c:v>
                </c:pt>
                <c:pt idx="1">
                  <c:v>2022</c:v>
                </c:pt>
                <c:pt idx="2">
                  <c:v>2029</c:v>
                </c:pt>
              </c:numCache>
            </c:numRef>
          </c:cat>
          <c:val>
            <c:numRef>
              <c:f>'[观点数据图表模板-全球20230927 实习同学(1).xlsx]全球总体'!$B$22:$D$22</c:f>
              <c:numCache>
                <c:formatCode>#,##0_ </c:formatCode>
                <c:ptCount val="3"/>
                <c:pt idx="0">
                  <c:v>234.6</c:v>
                </c:pt>
                <c:pt idx="1">
                  <c:v>406.85</c:v>
                </c:pt>
                <c:pt idx="2">
                  <c:v>1162.06</c:v>
                </c:pt>
              </c:numCache>
            </c:numRef>
          </c:val>
        </c:ser>
        <c:dLbls>
          <c:showLegendKey val="0"/>
          <c:showVal val="1"/>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8270778652668"/>
          <c:y val="0.0346320818516983"/>
        </c:manualLayout>
      </c:layout>
      <c:overlay val="0"/>
      <c:spPr>
        <a:noFill/>
        <a:ln>
          <a:noFill/>
        </a:ln>
        <a:effectLst/>
      </c:spPr>
    </c:title>
    <c:autoTitleDeleted val="0"/>
    <c:plotArea>
      <c:layout>
        <c:manualLayout>
          <c:layoutTarget val="inner"/>
          <c:xMode val="edge"/>
          <c:yMode val="edge"/>
          <c:x val="0.460222222222222"/>
          <c:y val="0.0984409368719328"/>
          <c:w val="0.535611111111111"/>
          <c:h val="0.872131620724491"/>
        </c:manualLayout>
      </c:layout>
      <c:barChart>
        <c:barDir val="bar"/>
        <c:grouping val="clustered"/>
        <c:varyColors val="1"/>
        <c:ser>
          <c:idx val="0"/>
          <c:order val="0"/>
          <c:tx>
            <c:strRef>
              <c:f>'[观点数据图表模板-全球20230927 实习同学(1).xlsx]企业排序'!$G$1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Pt>
            <c:idx val="14"/>
            <c:invertIfNegative val="0"/>
            <c:bubble3D val="0"/>
            <c:spPr>
              <a:solidFill>
                <a:schemeClr val="accent3">
                  <a:lumMod val="80000"/>
                  <a:lumOff val="20000"/>
                </a:schemeClr>
              </a:solidFill>
              <a:ln>
                <a:noFill/>
              </a:ln>
              <a:effectLst/>
            </c:spPr>
          </c:dPt>
          <c:dLbls>
            <c:delete val="1"/>
          </c:dLbls>
          <c:cat>
            <c:strRef>
              <c:f>'[观点数据图表模板-全球20230927 实习同学(1).xlsx]企业排序'!$F$2:$F$16</c:f>
              <c:strCache>
                <c:ptCount val="15"/>
                <c:pt idx="0">
                  <c:v>Heartsome</c:v>
                </c:pt>
                <c:pt idx="1">
                  <c:v>Déjà Vu</c:v>
                </c:pt>
                <c:pt idx="2">
                  <c:v>Memsource</c:v>
                </c:pt>
                <c:pt idx="3">
                  <c:v>Wordfast</c:v>
                </c:pt>
                <c:pt idx="4">
                  <c:v>XTM Cloud</c:v>
                </c:pt>
                <c:pt idx="5">
                  <c:v>LanguageWire </c:v>
                </c:pt>
                <c:pt idx="6">
                  <c:v>Lionbridge</c:v>
                </c:pt>
                <c:pt idx="7">
                  <c:v>MemoQ</c:v>
                </c:pt>
                <c:pt idx="8">
                  <c:v>TransPerfect</c:v>
                </c:pt>
                <c:pt idx="9">
                  <c:v>Smartcat</c:v>
                </c:pt>
                <c:pt idx="10">
                  <c:v>Star Transit</c:v>
                </c:pt>
                <c:pt idx="11">
                  <c:v>雪人CAT</c:v>
                </c:pt>
                <c:pt idx="12">
                  <c:v>Across</c:v>
                </c:pt>
                <c:pt idx="13">
                  <c:v>优译信息</c:v>
                </c:pt>
                <c:pt idx="14">
                  <c:v>RWS Group</c:v>
                </c:pt>
              </c:strCache>
            </c:strRef>
          </c:cat>
          <c:val>
            <c:numRef>
              <c:f>'[观点数据图表模板-全球20230927 实习同学(1).xlsx]企业排序'!$G$2:$G$16</c:f>
              <c:numCache>
                <c:formatCode>General</c:formatCode>
                <c:ptCount val="15"/>
                <c:pt idx="0">
                  <c:v>0</c:v>
                </c:pt>
                <c:pt idx="1">
                  <c:v>0.48</c:v>
                </c:pt>
                <c:pt idx="2">
                  <c:v>0.58</c:v>
                </c:pt>
                <c:pt idx="3">
                  <c:v>0.69</c:v>
                </c:pt>
                <c:pt idx="4">
                  <c:v>1.2</c:v>
                </c:pt>
                <c:pt idx="5">
                  <c:v>1.34</c:v>
                </c:pt>
                <c:pt idx="6">
                  <c:v>1.41</c:v>
                </c:pt>
                <c:pt idx="7">
                  <c:v>1.71</c:v>
                </c:pt>
                <c:pt idx="8">
                  <c:v>1.8</c:v>
                </c:pt>
                <c:pt idx="9">
                  <c:v>2.07</c:v>
                </c:pt>
                <c:pt idx="10">
                  <c:v>3.08</c:v>
                </c:pt>
                <c:pt idx="11">
                  <c:v>3.31</c:v>
                </c:pt>
                <c:pt idx="12">
                  <c:v>5.17</c:v>
                </c:pt>
                <c:pt idx="13">
                  <c:v>6.19</c:v>
                </c:pt>
                <c:pt idx="14">
                  <c:v>11.15</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General"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0.56052889324192</cdr:x>
      <cdr:y>0.182686319285863</cdr:y>
    </cdr:from>
    <cdr:to>
      <cdr:x>0.792262487757101</cdr:x>
      <cdr:y>0.621963877932323</cdr:y>
    </cdr:to>
    <cdr:grpSp>
      <cdr:nvGrpSpPr>
        <cdr:cNvPr id="2" name="组合 1"/>
        <cdr:cNvGrpSpPr/>
      </cdr:nvGrpSpPr>
      <cdr:grpSpPr xmlns:a="http://schemas.openxmlformats.org/drawingml/2006/main">
        <a:xfrm rot="0">
          <a:off x="3468951" y="536411"/>
          <a:ext cx="1434132" cy="1289824"/>
          <a:chOff x="2669062" y="1425016"/>
          <a:chExt cx="951093" cy="597767"/>
        </a:xfrm>
        <a:solidFill>
          <a:srgbClr val="FFC000"/>
        </a:solidFill>
      </cdr:grpSpPr>
      <cdr:cxnSp>
        <cdr:nvCxnSpPr>
          <cdr:cNvPr id="3" name="直接箭头连接符 2"/>
          <cdr:cNvCxnSpPr/>
        </cdr:nvCxnSpPr>
        <cdr:spPr xmlns:a="http://schemas.openxmlformats.org/drawingml/2006/main">
          <a:xfrm xmlns:a="http://schemas.openxmlformats.org/drawingml/2006/main" flipV="1">
            <a:off x="2669062" y="1425016"/>
            <a:ext cx="951093" cy="597767"/>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9377592">
            <a:off x="2931557" y="1629827"/>
            <a:ext cx="441378" cy="214416"/>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baseline="0">
                <a:solidFill>
                  <a:sysClr val="windowText" lastClr="000000"/>
                </a:solidFill>
                <a:latin typeface="Book Antiqua" panose="02040602050305030304" pitchFamily="1" charset="0"/>
                <a:ea typeface="宋体" panose="02010600030101010101" charset="-122"/>
              </a:rPr>
              <a:t>16.1%</a:t>
            </a:r>
            <a:endParaRPr lang="en-US" altLang="zh-CN" sz="800" baseline="0">
              <a:solidFill>
                <a:sysClr val="windowText" lastClr="000000"/>
              </a:solidFill>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0.291478942213516</cdr:x>
      <cdr:y>0.519825617604318</cdr:y>
    </cdr:from>
    <cdr:to>
      <cdr:x>0.465523996082272</cdr:x>
      <cdr:y>0.828108781399211</cdr:y>
    </cdr:to>
    <cdr:grpSp>
      <cdr:nvGrpSpPr>
        <cdr:cNvPr id="5" name="组合 4"/>
        <cdr:cNvGrpSpPr/>
      </cdr:nvGrpSpPr>
      <cdr:grpSpPr xmlns:a="http://schemas.openxmlformats.org/drawingml/2006/main">
        <a:xfrm rot="1723322">
          <a:off x="1803879" y="1526333"/>
          <a:ext cx="1077114" cy="905193"/>
          <a:chOff x="4068432" y="4414357"/>
          <a:chExt cx="474997" cy="4094766"/>
        </a:xfrm>
      </cdr:grpSpPr>
      <cdr:cxnSp>
        <cdr:nvCxnSpPr>
          <cdr:cNvPr id="6" name="直接箭头连接符 5"/>
          <cdr:cNvCxnSpPr/>
        </cdr:nvCxnSpPr>
        <cdr:spPr xmlns:a="http://schemas.openxmlformats.org/drawingml/2006/main">
          <a:xfrm xmlns:a="http://schemas.openxmlformats.org/drawingml/2006/main" flipV="1">
            <a:off x="4068432" y="4414357"/>
            <a:ext cx="474997" cy="4094766"/>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9319997">
            <a:off x="4170161" y="5840601"/>
            <a:ext cx="267576" cy="1622926"/>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a:solidFill>
                  <a:sysClr val="windowText" lastClr="000000"/>
                </a:solidFill>
              </a:rPr>
              <a:t>14.8%</a:t>
            </a:r>
            <a:endParaRPr lang="en-US" altLang="zh-CN" sz="800">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3</Pages>
  <Words>133</Words>
  <Characters>759</Characters>
  <Lines>6</Lines>
  <Paragraphs>1</Paragraphs>
  <TotalTime>1</TotalTime>
  <ScaleCrop>false</ScaleCrop>
  <LinksUpToDate>false</LinksUpToDate>
  <CharactersWithSpaces>891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2023-11-06T07:19:44Z</dcterms:modified>
  <cp:revision>797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13EA53908A4E4399B61F941EAC5523FE_13</vt:lpwstr>
  </property>
</Properties>
</file>