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charts/colors1.xml" ContentType="application/vnd.ms-office.chartcolorstyle+xml"/>
  <Override PartName="/word/charts/colors2.xml" ContentType="application/vnd.ms-office.chartcolorstyle+xml"/>
  <Override PartName="/word/charts/colors3.xml" ContentType="application/vnd.ms-office.chartcolorstyle+xml"/>
  <Override PartName="/word/charts/colors4.xml" ContentType="application/vnd.ms-office.chartcolorstyle+xml"/>
  <Override PartName="/word/charts/colors5.xml" ContentType="application/vnd.ms-office.chartcolorstyle+xml"/>
  <Override PartName="/word/charts/style1.xml" ContentType="application/vnd.ms-office.chartstyle+xml"/>
  <Override PartName="/word/charts/style2.xml" ContentType="application/vnd.ms-office.chartstyle+xml"/>
  <Override PartName="/word/charts/style3.xml" ContentType="application/vnd.ms-office.chartstyle+xml"/>
  <Override PartName="/word/charts/style4.xml" ContentType="application/vnd.ms-office.chartstyle+xml"/>
  <Override PartName="/word/charts/style5.xml" ContentType="application/vnd.ms-office.chartstyle+xml"/>
  <Override PartName="/word/document.xml" ContentType="application/vnd.openxmlformats-officedocument.wordprocessingml.document.main+xml"/>
  <Override PartName="/word/drawings/drawing1.xml" ContentType="application/vnd.openxmlformats-officedocument.drawingml.chartshap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67"/>
        <w:rPr>
          <w:lang w:eastAsia="zh-CN"/>
        </w:rPr>
      </w:pPr>
      <w:bookmarkStart w:id="0" w:name="_Toc517262917"/>
      <w:bookmarkStart w:id="1" w:name="_Toc438987549"/>
      <w:bookmarkStart w:id="2" w:name="_Toc481801204"/>
      <w:bookmarkStart w:id="3" w:name="_Toc453597319"/>
      <w:bookmarkStart w:id="4" w:name="OLE_LINK15"/>
      <w:bookmarkStart w:id="5" w:name="_Toc415143481"/>
      <w:bookmarkStart w:id="6" w:name="_Toc415818939"/>
      <w:bookmarkStart w:id="7" w:name="_Toc415142861"/>
      <w:bookmarkStart w:id="8" w:name="_Toc418070112"/>
      <w:bookmarkStart w:id="9" w:name="OLE_LINK40"/>
      <w:bookmarkStart w:id="10" w:name="OLE_LINK13"/>
      <w:bookmarkStart w:id="11" w:name="OLE_LINK39"/>
      <w:bookmarkStart w:id="12" w:name="OLE_LINK24"/>
      <w:r>
        <w:rPr>
          <w:lang w:eastAsia="zh-CN"/>
        </w:rPr>
        <w:t>分子互作仪</w:t>
      </w:r>
      <w:r>
        <w:rPr>
          <w:rFonts w:hint="eastAsia"/>
          <w:lang w:eastAsia="zh-CN"/>
        </w:rPr>
        <w:t>全球市场总体规模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据QYResearch调研团队最新报告“全球分子互作仪市场报告2024-2030”显示，预计2030年全球分子互作仪市场规模将达到3.7亿美元，未来几年年复合增长率CAGR为5.7%。</w:t>
      </w:r>
    </w:p>
    <w:p>
      <w:pPr>
        <w:pStyle w:val="148"/>
        <w:rPr>
          <w:lang w:eastAsia="zh-CN"/>
        </w:rPr>
      </w:pPr>
      <w:r>
        <w:rPr>
          <w:lang w:eastAsia="zh-CN"/>
        </w:rPr>
        <w:t>分子互作仪</w:t>
      </w:r>
      <w:r>
        <w:rPr>
          <w:rFonts w:hint="eastAsia"/>
          <w:lang w:eastAsia="zh-CN"/>
        </w:rPr>
        <w:t>，全球市场总体规模</w:t>
      </w:r>
    </w:p>
    <w:p>
      <w:pPr>
        <w:pStyle w:val="145"/>
      </w:pPr>
      <w:r>
        <w:drawing>
          <wp:inline distT="0" distB="0" distL="0" distR="0">
            <wp:extent cx="6188710" cy="2954655"/>
            <wp:effectExtent l="0" t="0" r="2540" b="0"/>
            <wp:docPr id="1235249856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分子互作仪</w:t>
      </w:r>
      <w:r>
        <w:rPr>
          <w:rFonts w:hint="eastAsia"/>
          <w:lang w:eastAsia="zh-CN"/>
        </w:rPr>
        <w:t>市场研究报告2024-2030”</w:t>
      </w:r>
      <w:r>
        <w:rPr>
          <w:lang w:eastAsia="zh-CN"/>
        </w:rPr>
        <w:t>.</w:t>
      </w:r>
    </w:p>
    <w:p>
      <w:pPr>
        <w:pStyle w:val="145"/>
        <w:rPr>
          <w:lang w:eastAsia="zh-CN"/>
        </w:rPr>
      </w:pPr>
    </w:p>
    <w:p>
      <w:pPr>
        <w:pStyle w:val="148"/>
        <w:rPr>
          <w:lang w:eastAsia="zh-CN"/>
        </w:rPr>
      </w:pPr>
      <w:r>
        <w:rPr>
          <w:rFonts w:hint="eastAsia"/>
          <w:lang w:eastAsia="zh-CN"/>
        </w:rPr>
        <w:t>全球</w:t>
      </w:r>
      <w:r>
        <w:rPr>
          <w:lang w:eastAsia="zh-CN"/>
        </w:rPr>
        <w:t>分子互作仪</w:t>
      </w:r>
      <w:r>
        <w:rPr>
          <w:rFonts w:hint="eastAsia"/>
          <w:lang w:eastAsia="zh-CN"/>
        </w:rPr>
        <w:t>市场前13强生产商排名及市场占有率（基于2</w:t>
      </w:r>
      <w:r>
        <w:rPr>
          <w:lang w:eastAsia="zh-CN"/>
        </w:rPr>
        <w:t>023</w:t>
      </w:r>
      <w:r>
        <w:rPr>
          <w:rFonts w:hint="eastAsia"/>
          <w:lang w:eastAsia="zh-CN"/>
        </w:rPr>
        <w:t>年调研数据；目前最新数据以本公司最新调研数据为准）</w:t>
      </w:r>
    </w:p>
    <w:p>
      <w:pPr>
        <w:widowControl/>
        <w:topLinePunct w:val="0"/>
        <w:spacing w:after="0"/>
        <w:jc w:val="center"/>
        <w:rPr>
          <w:rFonts w:hint="eastAsia" w:ascii="宋体" w:hAnsi="宋体" w:cs="宋体"/>
          <w:kern w:val="0"/>
          <w:sz w:val="24"/>
          <w:szCs w:val="24"/>
        </w:rPr>
      </w:pPr>
      <w:r>
        <w:drawing>
          <wp:inline distT="0" distB="0" distL="0" distR="0">
            <wp:extent cx="3771900" cy="5991225"/>
            <wp:effectExtent l="0" t="0" r="0" b="0"/>
            <wp:docPr id="269774749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如上图表/数据，摘自QYResearch报告“全球</w:t>
      </w:r>
      <w:r>
        <w:rPr>
          <w:lang w:eastAsia="zh-CN"/>
        </w:rPr>
        <w:t>分子互作仪</w:t>
      </w:r>
      <w:r>
        <w:rPr>
          <w:rFonts w:hint="eastAsia"/>
          <w:lang w:eastAsia="zh-CN"/>
        </w:rPr>
        <w:t>市场研究报告2024-2030”，排名基于2</w:t>
      </w:r>
      <w:r>
        <w:rPr>
          <w:lang w:eastAsia="zh-CN"/>
        </w:rPr>
        <w:t>023</w:t>
      </w:r>
      <w:r>
        <w:rPr>
          <w:rFonts w:hint="eastAsia"/>
          <w:lang w:eastAsia="zh-CN"/>
        </w:rPr>
        <w:t>数据。目前最新数据，以本公司最新调研数据为准。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根据QYResearch头部企业研究中心调研，全球范围内分子互作仪生产商主要包括Sartorius、Cytiva、NanoTemper、Malvern Panalytical、Nicoya、Bruker、Gator Bio、Reichert、TA Instruments、Affinite等。2023年，全球前十强厂商占有大约86.0%的市场份额。</w:t>
      </w:r>
    </w:p>
    <w:p>
      <w:pPr>
        <w:pStyle w:val="145"/>
        <w:rPr>
          <w:lang w:eastAsia="zh-CN"/>
        </w:rPr>
      </w:pPr>
    </w:p>
    <w:p>
      <w:pPr>
        <w:pStyle w:val="145"/>
        <w:rPr>
          <w:lang w:eastAsia="zh-CN"/>
        </w:rPr>
      </w:pPr>
    </w:p>
    <w:p>
      <w:pPr>
        <w:pStyle w:val="148"/>
        <w:rPr>
          <w:lang w:eastAsia="zh-CN"/>
        </w:rPr>
      </w:pPr>
      <w:r>
        <w:rPr>
          <w:lang w:eastAsia="zh-CN"/>
        </w:rPr>
        <w:t>分子互作仪</w:t>
      </w:r>
      <w:r>
        <w:rPr>
          <w:rFonts w:hint="eastAsia"/>
          <w:lang w:eastAsia="zh-CN"/>
        </w:rPr>
        <w:t>，全球市场规模，按产品类型细分</w:t>
      </w:r>
    </w:p>
    <w:p>
      <w:pPr>
        <w:pStyle w:val="145"/>
        <w:rPr>
          <w:lang w:eastAsia="zh-CN"/>
        </w:rPr>
      </w:pPr>
      <w:r>
        <w:drawing>
          <wp:inline distT="0" distB="0" distL="0" distR="0">
            <wp:extent cx="6188710" cy="2922270"/>
            <wp:effectExtent l="0" t="0" r="2540" b="0"/>
            <wp:docPr id="1035595733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分子互作仪</w:t>
      </w:r>
      <w:r>
        <w:rPr>
          <w:rFonts w:hint="eastAsia"/>
          <w:lang w:eastAsia="zh-CN"/>
        </w:rPr>
        <w:t>市场研究报告2024-2030”</w:t>
      </w:r>
      <w:r>
        <w:rPr>
          <w:lang w:eastAsia="zh-CN"/>
        </w:rPr>
        <w:t>.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就产品类型而言，目前Surface Plasmon Resonance (SPR)是最主要的细分产品，占据大约48.0%的份额。</w:t>
      </w:r>
    </w:p>
    <w:p>
      <w:pPr>
        <w:pStyle w:val="148"/>
        <w:rPr>
          <w:lang w:eastAsia="zh-CN"/>
        </w:rPr>
      </w:pPr>
      <w:r>
        <w:rPr>
          <w:lang w:eastAsia="zh-CN"/>
        </w:rPr>
        <w:t>分子互作仪</w:t>
      </w:r>
      <w:r>
        <w:rPr>
          <w:rFonts w:hint="eastAsia"/>
          <w:lang w:eastAsia="zh-CN"/>
        </w:rPr>
        <w:t>，全球市场规模，按应用细分</w:t>
      </w:r>
    </w:p>
    <w:p>
      <w:pPr>
        <w:widowControl/>
        <w:topLinePunct w:val="0"/>
        <w:spacing w:after="0"/>
        <w:jc w:val="left"/>
        <w:rPr>
          <w:rFonts w:hint="eastAsia" w:ascii="宋体" w:hAnsi="宋体" w:cs="宋体"/>
          <w:kern w:val="0"/>
          <w:sz w:val="24"/>
          <w:szCs w:val="24"/>
        </w:rPr>
      </w:pPr>
      <w:r>
        <w:drawing>
          <wp:inline distT="0" distB="0" distL="0" distR="0">
            <wp:extent cx="6188710" cy="2922270"/>
            <wp:effectExtent l="0" t="0" r="2540" b="0"/>
            <wp:docPr id="1177435548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分子互作仪</w:t>
      </w:r>
      <w:r>
        <w:rPr>
          <w:rFonts w:hint="eastAsia"/>
          <w:lang w:eastAsia="zh-CN"/>
        </w:rPr>
        <w:t>市场研究报告2024-2030”</w:t>
      </w:r>
      <w:r>
        <w:rPr>
          <w:lang w:eastAsia="zh-CN"/>
        </w:rPr>
        <w:t>.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就产品应用而言，目前Pharmaceutical and Biotech Companies是最主要的需求来源，占据大约55.2%的份额。</w:t>
      </w:r>
    </w:p>
    <w:p>
      <w:pPr>
        <w:pStyle w:val="148"/>
        <w:rPr>
          <w:lang w:eastAsia="zh-CN"/>
        </w:rPr>
      </w:pPr>
      <w:r>
        <w:rPr>
          <w:rFonts w:hint="eastAsia"/>
          <w:lang w:eastAsia="zh-CN"/>
        </w:rPr>
        <w:t>全球主要市场</w:t>
      </w:r>
      <w:r>
        <w:rPr>
          <w:lang w:eastAsia="zh-CN"/>
        </w:rPr>
        <w:t>分子互作仪</w:t>
      </w:r>
      <w:r>
        <w:rPr>
          <w:rFonts w:hint="eastAsia"/>
          <w:lang w:eastAsia="zh-CN"/>
        </w:rPr>
        <w:t>规模</w:t>
      </w:r>
    </w:p>
    <w:p>
      <w:pPr>
        <w:pStyle w:val="145"/>
        <w:rPr>
          <w:lang w:val="en-US" w:eastAsia="zh-CN"/>
        </w:rPr>
      </w:pPr>
      <w:r>
        <w:drawing>
          <wp:inline distT="0" distB="0" distL="0" distR="0">
            <wp:extent cx="6188710" cy="2922270"/>
            <wp:effectExtent l="0" t="0" r="2540" b="0"/>
            <wp:docPr id="1782068785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分子互作仪</w:t>
      </w:r>
      <w:r>
        <w:rPr>
          <w:rFonts w:hint="eastAsia"/>
          <w:lang w:eastAsia="zh-CN"/>
        </w:rPr>
        <w:t>市场研究报告2024-2030”</w:t>
      </w:r>
      <w:r>
        <w:rPr>
          <w:lang w:eastAsia="zh-CN"/>
        </w:rPr>
        <w:t>.</w:t>
      </w:r>
    </w:p>
    <w:p>
      <w:pPr>
        <w:pStyle w:val="145"/>
        <w:rPr>
          <w:lang w:eastAsia="zh-CN"/>
        </w:rPr>
      </w:pP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主要驱动因素</w:t>
      </w:r>
      <w:r>
        <w:rPr>
          <w:lang w:eastAsia="zh-CN"/>
        </w:rPr>
        <w:t>: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D1：研发活动增加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生物技术和制药领域的持续研发推动了对先进分析工具的需求，用于研究分子相互作用，从而有助于药物的发现和开发。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D2：学术和研究机构扩大研究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越来越多的学术和研究机构专注于分子生物学和相关领域，这推动了对先进分子相互作用分析仪的需求。</w:t>
      </w:r>
    </w:p>
    <w:p>
      <w:pPr>
        <w:pStyle w:val="145"/>
        <w:rPr>
          <w:lang w:eastAsia="zh-CN"/>
        </w:rPr>
      </w:pP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p>
      <w:pPr>
        <w:pStyle w:val="145"/>
        <w:rPr>
          <w:lang w:eastAsia="zh-CN"/>
        </w:rPr>
      </w:pPr>
      <w:r>
        <w:rPr>
          <w:lang w:eastAsia="zh-CN"/>
        </w:rPr>
        <w:br w:type="page"/>
      </w:r>
    </w:p>
    <w:p>
      <w:pPr>
        <w:pStyle w:val="167"/>
        <w:rPr>
          <w:lang w:eastAsia="zh-CN"/>
        </w:rPr>
      </w:pPr>
      <w:r>
        <w:rPr>
          <w:lang w:eastAsia="zh-CN"/>
        </w:rPr>
        <w:t>QYResearch</w:t>
      </w:r>
      <w:r>
        <w:rPr>
          <w:rFonts w:hint="eastAsia"/>
          <w:lang w:eastAsia="zh-CN"/>
        </w:rPr>
        <w:t>分析师简介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Chirs Ma-本文主要分析师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马先生，具有9年行业研究经验，专注于机械设备，医美健康，半导体设备等领域。部分深入研究课题包括半导体蚀刻设备，透明质酸基皮肤填充剂，工业软管，滑环，EMS and ODM等。</w:t>
      </w:r>
    </w:p>
    <w:p>
      <w:pPr>
        <w:pStyle w:val="145"/>
        <w:rPr>
          <w:lang w:eastAsia="zh-CN"/>
        </w:rPr>
      </w:pPr>
    </w:p>
    <w:p>
      <w:pPr>
        <w:pStyle w:val="145"/>
        <w:rPr>
          <w:lang w:eastAsia="zh-CN"/>
        </w:rPr>
      </w:pPr>
    </w:p>
    <w:p>
      <w:pPr>
        <w:pStyle w:val="167"/>
        <w:rPr>
          <w:lang w:eastAsia="zh-CN"/>
        </w:rPr>
      </w:pPr>
      <w:r>
        <w:rPr>
          <w:lang w:eastAsia="zh-CN"/>
        </w:rPr>
        <w:t>QYResearch</w:t>
      </w:r>
      <w:r>
        <w:rPr>
          <w:rFonts w:hint="eastAsia"/>
          <w:lang w:eastAsia="zh-CN"/>
        </w:rPr>
        <w:t>企业简介</w:t>
      </w:r>
    </w:p>
    <w:p>
      <w:pPr>
        <w:pStyle w:val="145"/>
        <w:rPr>
          <w:lang w:eastAsia="zh-CN"/>
        </w:rPr>
      </w:pPr>
      <w:r>
        <w:drawing>
          <wp:inline distT="0" distB="0" distL="0" distR="0">
            <wp:extent cx="1218565" cy="551815"/>
            <wp:effectExtent l="0" t="0" r="635" b="635"/>
            <wp:docPr id="6771634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716341" name="图片 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219048" cy="5523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45"/>
        <w:rPr>
          <w:rFonts w:hint="default"/>
          <w:lang w:val="en-US" w:eastAsia="zh-CN"/>
        </w:rPr>
      </w:pPr>
      <w:r>
        <w:rPr>
          <w:lang w:eastAsia="zh-CN"/>
        </w:rPr>
        <w:t>https://www.qyresearch.com</w:t>
      </w:r>
      <w:r>
        <w:rPr>
          <w:rFonts w:hint="eastAsia"/>
          <w:lang w:val="en-US" w:eastAsia="zh-CN"/>
        </w:rPr>
        <w:t>.cn</w:t>
      </w:r>
      <w:bookmarkStart w:id="13" w:name="_GoBack"/>
      <w:bookmarkEnd w:id="13"/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QYResearch（北京恒州博智国际信息咨询有限公司）成立于2007年，总部位于美国洛杉矶和中国北京。经过连续</w:t>
      </w:r>
      <w:r>
        <w:rPr>
          <w:lang w:eastAsia="zh-CN"/>
        </w:rPr>
        <w:t>17</w:t>
      </w:r>
      <w:r>
        <w:rPr>
          <w:rFonts w:hint="eastAsia"/>
          <w:lang w:eastAsia="zh-CN"/>
        </w:rPr>
        <w:t>年多的沉淀，QYResearch已成长为全球知名的、面向全球客户提供细分行业调研服务的领先咨询机构，专注为企业提供专业的市场调查报告、行业研究报告、可行性研究、IPO咨询、商业计划书、制造业单项冠军申请和专精特新“小巨人”申请、市占率证明等服务。业务遍及世界160多个国家，在全球30多个国家有固定营销合作伙伴，在美国、日本、韩国、印度等有分支机构，在国内主要城市北京、广州、长沙、石家庄、重庆、武汉、成都、山西大同、太原、昆明、日照等地设有办公室和专业研究团队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QYResearch是全球知名的大型咨询公司，行业涵盖各高科技行业产业链细分市场，横跨如半导体产业链（半导体设备及零部件、半导体材料、集成电路、制造、封测、分立器件、传感器、光电器件）、光伏产业链（设备、硅料/硅片、电池片、组件、辅料支架、逆变器、电站终端）、新能源汽车产业链（动力电池及材料、电驱电控、汽车半导体/电子、整车、充电桩）、通信产业链（通信系统设备、终端设备、电子元器件、射频前端、光模块、4G/5G/6G、宽带、IoT、数字经济、AI）、先进材料产业链（金属材料、高分子材料、陶瓷材料、纳米材料等）、机械制造产业链（数控机床、工程机械、电气机械、3C自动化、工业机器人、激光、工控、无人机）、食品药品、医疗器械、农业等。</w:t>
      </w:r>
    </w:p>
    <w:p>
      <w:pPr>
        <w:pStyle w:val="145"/>
        <w:rPr>
          <w:lang w:eastAsia="zh-CN"/>
        </w:rPr>
      </w:pPr>
    </w:p>
    <w:sectPr>
      <w:headerReference r:id="rId6" w:type="first"/>
      <w:headerReference r:id="rId4" w:type="default"/>
      <w:footerReference r:id="rId7" w:type="default"/>
      <w:headerReference r:id="rId5" w:type="even"/>
      <w:pgSz w:w="11906" w:h="16838"/>
      <w:pgMar w:top="1440" w:right="1080" w:bottom="1440" w:left="1080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Book Antiqua">
    <w:altName w:val="Segoe Print"/>
    <w:panose1 w:val="02040602050305030304"/>
    <w:charset w:val="00"/>
    <w:family w:val="roman"/>
    <w:pitch w:val="default"/>
    <w:sig w:usb0="00000000" w:usb1="00000000" w:usb2="00000000" w:usb3="00000000" w:csb0="0000009F" w:csb1="0000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entury Gothic">
    <w:altName w:val="Yu Gothic UI"/>
    <w:panose1 w:val="020B0502020202020204"/>
    <w:charset w:val="00"/>
    <w:family w:val="swiss"/>
    <w:pitch w:val="default"/>
    <w:sig w:usb0="00000000" w:usb1="00000000" w:usb2="00000000" w:usb3="00000000" w:csb0="0000009F" w:csb1="00000000"/>
  </w:font>
  <w:font w:name="Franklin Gothic Demi">
    <w:altName w:val="Yu Gothic UI Semibold"/>
    <w:panose1 w:val="020B0703020102020204"/>
    <w:charset w:val="00"/>
    <w:family w:val="swiss"/>
    <w:pitch w:val="default"/>
    <w:sig w:usb0="00000000" w:usb1="00000000" w:usb2="00000000" w:usb3="00000000" w:csb0="0000009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  <w:font w:name="Yu Gothic UI Semibold">
    <w:panose1 w:val="020B0700000000000000"/>
    <w:charset w:val="80"/>
    <w:family w:val="auto"/>
    <w:pitch w:val="default"/>
    <w:sig w:usb0="E00002FF" w:usb1="2AC7FDFF" w:usb2="00000016" w:usb3="00000000" w:csb0="2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1"/>
      <w:jc w:val="center"/>
    </w:pPr>
    <w:r>
      <w:t>Copyright © QYResearch | market@qyresearch.com | www.qyresearch.com.cn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2"/>
      <w:pBdr>
        <w:bottom w:val="none" w:color="auto" w:sz="0" w:space="0"/>
      </w:pBdr>
      <w:jc w:val="both"/>
    </w:pP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w:drawing>
        <wp:anchor distT="0" distB="0" distL="114300" distR="114300" simplePos="0" relativeHeight="251661312" behindDoc="1" locked="0" layoutInCell="1" allowOverlap="1">
          <wp:simplePos x="0" y="0"/>
          <wp:positionH relativeFrom="page">
            <wp:posOffset>-70485</wp:posOffset>
          </wp:positionH>
          <wp:positionV relativeFrom="page">
            <wp:posOffset>0</wp:posOffset>
          </wp:positionV>
          <wp:extent cx="7655560" cy="1105535"/>
          <wp:effectExtent l="0" t="0" r="3175" b="0"/>
          <wp:wrapNone/>
          <wp:docPr id="1550190406" name="图片 155019040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50190406" name="图片 1550190406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55312" cy="110553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45720" distB="45720" distL="114300" distR="114300" simplePos="0" relativeHeight="251662336" behindDoc="0" locked="0" layoutInCell="1" allowOverlap="1">
              <wp:simplePos x="0" y="0"/>
              <wp:positionH relativeFrom="margin">
                <wp:posOffset>-233680</wp:posOffset>
              </wp:positionH>
              <wp:positionV relativeFrom="paragraph">
                <wp:posOffset>-331470</wp:posOffset>
              </wp:positionV>
              <wp:extent cx="5201920" cy="783590"/>
              <wp:effectExtent l="0" t="0" r="0" b="0"/>
              <wp:wrapSquare wrapText="bothSides"/>
              <wp:docPr id="1907098769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201920" cy="78359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</a:ln>
                      <a:effectLst/>
                    </wps:spPr>
                    <wps:txbx>
                      <w:txbxContent>
                        <w:p>
                          <w:pPr>
                            <w:jc w:val="left"/>
                            <w:rPr>
                              <w:rFonts w:cs="Calibri"/>
                              <w:b/>
                              <w:color w:val="FFFFFF" w:themeColor="background1"/>
                              <w:sz w:val="28"/>
                              <w:szCs w:val="28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</w:pPr>
                          <w:r>
                            <w:rPr>
                              <w:rFonts w:hint="eastAsia" w:cs="Calibri"/>
                              <w:b/>
                              <w:color w:val="FFFFFF" w:themeColor="background1"/>
                              <w:sz w:val="28"/>
                              <w:szCs w:val="28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>全球市场研究报告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 Box 2" o:spid="_x0000_s1026" o:spt="202" type="#_x0000_t202" style="position:absolute;left:0pt;margin-left:-18.4pt;margin-top:-26.1pt;height:61.7pt;width:409.6pt;mso-position-horizontal-relative:margin;mso-wrap-distance-bottom:3.6pt;mso-wrap-distance-left:9pt;mso-wrap-distance-right:9pt;mso-wrap-distance-top:3.6pt;z-index:251662336;v-text-anchor:middle;mso-width-relative:page;mso-height-relative:page;" filled="f" stroked="f" coordsize="21600,21600" o:gfxdata="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Ecpl&#10;ZtkAAAAKAQAADwAAAAAAAAABACAAAAAiAAAAZHJzL2Rvd25yZXYueG1sUEsBAhQAFAAAAAgAh07i&#10;QGUIQ3whAgAAQQQAAA4AAAAAAAAAAQAgAAAAKAEAAGRycy9lMm9Eb2MueG1sUEsFBgAAAAAGAAYA&#10;WQEAALsFAAAAAA==&#10;">
              <v:fill on="f" focussize="0,0"/>
              <v:stroke on="f" miterlimit="8" joinstyle="miter"/>
              <v:imagedata o:title=""/>
              <o:lock v:ext="edit" aspectratio="f"/>
              <v:textbox>
                <w:txbxContent>
                  <w:p>
                    <w:pPr>
                      <w:jc w:val="left"/>
                      <w:rPr>
                        <w:rFonts w:cs="Calibri"/>
                        <w:b/>
                        <w:color w:val="FFFFFF" w:themeColor="background1"/>
                        <w:sz w:val="28"/>
                        <w:szCs w:val="28"/>
                        <w14:textFill>
                          <w14:solidFill>
                            <w14:schemeClr w14:val="bg1"/>
                          </w14:solidFill>
                        </w14:textFill>
                      </w:rPr>
                    </w:pPr>
                    <w:r>
                      <w:rPr>
                        <w:rFonts w:hint="eastAsia" w:cs="Calibri"/>
                        <w:b/>
                        <w:color w:val="FFFFFF" w:themeColor="background1"/>
                        <w:sz w:val="28"/>
                        <w:szCs w:val="28"/>
                        <w14:textFill>
                          <w14:solidFill>
                            <w14:schemeClr w14:val="bg1"/>
                          </w14:solidFill>
                        </w14:textFill>
                      </w:rPr>
                      <w:t>全球市场研究报告</w:t>
                    </w:r>
                  </w:p>
                </w:txbxContent>
              </v:textbox>
              <w10:wrap type="square"/>
            </v:shape>
          </w:pict>
        </mc:Fallback>
      </mc:AlternateContent>
    </w:r>
  </w:p>
  <w:p>
    <w:pPr>
      <w:pStyle w:val="22"/>
      <w:pBdr>
        <w:bottom w:val="none" w:color="auto" w:sz="0" w:space="0"/>
      </w:pBdr>
      <w:jc w:val="both"/>
    </w:pPr>
  </w:p>
  <w:p>
    <w:pPr>
      <w:pStyle w:val="22"/>
      <w:pBdr>
        <w:bottom w:val="none" w:color="auto" w:sz="0" w:space="0"/>
      </w:pBdr>
      <w:jc w:val="both"/>
    </w:pPr>
  </w:p>
  <w:p>
    <w:pPr>
      <w:pStyle w:val="22"/>
      <w:pBdr>
        <w:bottom w:val="none" w:color="auto" w:sz="0" w:space="0"/>
      </w:pBdr>
      <w:jc w:val="both"/>
    </w:pPr>
  </w:p>
  <w:p>
    <w:pPr>
      <w:pStyle w:val="22"/>
      <w:pBdr>
        <w:bottom w:val="none" w:color="auto" w:sz="0" w:space="0"/>
      </w:pBdr>
      <w:jc w:val="both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2" o:spid="_x0000_s1032" o:spt="75" type="#_x0000_t75" style="position:absolute;left:0pt;height:238.85pt;width:481.8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1" o:spid="_x0000_s1031" o:spt="75" type="#_x0000_t75" style="position:absolute;left:0pt;height:238.85pt;width:481.8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 w14:prst="orthographicFront"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YzU3Yjk5NTUxN2Y5MDI2YTlmM2I1MWNlOWRkZWU3ZTAifQ=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48D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8A7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462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9F4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3B1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7B8"/>
    <w:rsid w:val="00084C40"/>
    <w:rsid w:val="00084CE6"/>
    <w:rsid w:val="0008540C"/>
    <w:rsid w:val="0008591A"/>
    <w:rsid w:val="00085A7D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136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664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146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CA5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805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D72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C0E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B6"/>
    <w:rsid w:val="000E7BFB"/>
    <w:rsid w:val="000E7E33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C6C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53F"/>
    <w:rsid w:val="001617F2"/>
    <w:rsid w:val="00161985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14C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30F"/>
    <w:rsid w:val="00174813"/>
    <w:rsid w:val="00174928"/>
    <w:rsid w:val="00174B47"/>
    <w:rsid w:val="00175134"/>
    <w:rsid w:val="00175245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6E10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D3F"/>
    <w:rsid w:val="001F0E6F"/>
    <w:rsid w:val="001F12EC"/>
    <w:rsid w:val="001F12EF"/>
    <w:rsid w:val="001F15FC"/>
    <w:rsid w:val="001F1626"/>
    <w:rsid w:val="001F176B"/>
    <w:rsid w:val="001F17C5"/>
    <w:rsid w:val="001F1B63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06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DD9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3DC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9EE"/>
    <w:rsid w:val="002B1A3C"/>
    <w:rsid w:val="002B1CB6"/>
    <w:rsid w:val="002B1CDF"/>
    <w:rsid w:val="002B23E5"/>
    <w:rsid w:val="002B248B"/>
    <w:rsid w:val="002B24B5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DB0"/>
    <w:rsid w:val="002E1E12"/>
    <w:rsid w:val="002E209C"/>
    <w:rsid w:val="002E20AF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86A"/>
    <w:rsid w:val="002E3B04"/>
    <w:rsid w:val="002E3E0A"/>
    <w:rsid w:val="002E402B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505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05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0E4"/>
    <w:rsid w:val="003915D3"/>
    <w:rsid w:val="00391663"/>
    <w:rsid w:val="0039166F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BE5"/>
    <w:rsid w:val="0039500B"/>
    <w:rsid w:val="003951FF"/>
    <w:rsid w:val="0039526A"/>
    <w:rsid w:val="00395A25"/>
    <w:rsid w:val="00395A67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530"/>
    <w:rsid w:val="003A796E"/>
    <w:rsid w:val="003A7A9B"/>
    <w:rsid w:val="003B021D"/>
    <w:rsid w:val="003B045B"/>
    <w:rsid w:val="003B0FE7"/>
    <w:rsid w:val="003B10EC"/>
    <w:rsid w:val="003B1233"/>
    <w:rsid w:val="003B1599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96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A5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AEB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3CA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7FE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A42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82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9DE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922"/>
    <w:rsid w:val="00540A44"/>
    <w:rsid w:val="00540D00"/>
    <w:rsid w:val="00540D51"/>
    <w:rsid w:val="00540FD3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048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E5D"/>
    <w:rsid w:val="00593F68"/>
    <w:rsid w:val="00593FB5"/>
    <w:rsid w:val="00594158"/>
    <w:rsid w:val="005946FB"/>
    <w:rsid w:val="0059473F"/>
    <w:rsid w:val="00594BD4"/>
    <w:rsid w:val="00594E8D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1AC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01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5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167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75"/>
    <w:rsid w:val="0065409F"/>
    <w:rsid w:val="006542CE"/>
    <w:rsid w:val="00654545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BD4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3BE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92A"/>
    <w:rsid w:val="006E494B"/>
    <w:rsid w:val="006E495B"/>
    <w:rsid w:val="006E5A0D"/>
    <w:rsid w:val="006E5E8C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223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26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1D6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83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43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4C2A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5DA8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EDC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254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02B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E94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118"/>
    <w:rsid w:val="00870280"/>
    <w:rsid w:val="008703B2"/>
    <w:rsid w:val="00870782"/>
    <w:rsid w:val="008707AB"/>
    <w:rsid w:val="00870816"/>
    <w:rsid w:val="00870AA6"/>
    <w:rsid w:val="00870AE8"/>
    <w:rsid w:val="00870B16"/>
    <w:rsid w:val="008715C7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4FC3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49A"/>
    <w:rsid w:val="008A25A1"/>
    <w:rsid w:val="008A25AC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59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5EA9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6F2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7F0"/>
    <w:rsid w:val="0096082B"/>
    <w:rsid w:val="00960D75"/>
    <w:rsid w:val="00960ED5"/>
    <w:rsid w:val="0096105F"/>
    <w:rsid w:val="00961218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01E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DA2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4ED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44D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473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93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19A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561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50D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729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04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86A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3D4F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418"/>
    <w:rsid w:val="00BF45E6"/>
    <w:rsid w:val="00BF4930"/>
    <w:rsid w:val="00BF49B6"/>
    <w:rsid w:val="00BF4B1C"/>
    <w:rsid w:val="00BF4BBE"/>
    <w:rsid w:val="00BF4DD4"/>
    <w:rsid w:val="00BF517E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2E7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27E95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32B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98E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0B3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4E5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530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8CD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96C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DE2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3F86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A85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374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1A7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283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1FFF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24C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6E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D8D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3A84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3F9F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8D6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9F5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1A2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8B7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3C4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2E341E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uiPriority="39" w:semiHidden="0" w:name="toc 5"/>
    <w:lsdException w:qFormat="1" w:uiPriority="39" w:semiHidden="0" w:name="toc 6"/>
    <w:lsdException w:uiPriority="39" w:semiHidden="0" w:name="toc 7"/>
    <w:lsdException w:uiPriority="39" w:semiHidden="0" w:name="toc 8"/>
    <w:lsdException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uiPriority="63" w:semiHidden="0" w:name="Medium Shading 1 Accent 5"/>
    <w:lsdException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autoRedefine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autoRedefine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autoRedefine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85"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autoRedefine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semiHidden/>
    <w:unhideWhenUsed/>
    <w:uiPriority w:val="1"/>
  </w:style>
  <w:style w:type="table" w:default="1" w:styleId="3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autoRedefine/>
    <w:unhideWhenUsed/>
    <w:uiPriority w:val="39"/>
    <w:pPr>
      <w:ind w:left="2520" w:leftChars="1200"/>
    </w:pPr>
  </w:style>
  <w:style w:type="paragraph" w:styleId="11">
    <w:name w:val="Document Map"/>
    <w:basedOn w:val="1"/>
    <w:link w:val="91"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autoRedefine/>
    <w:unhideWhenUsed/>
    <w:qFormat/>
    <w:uiPriority w:val="0"/>
    <w:pPr>
      <w:jc w:val="left"/>
    </w:pPr>
  </w:style>
  <w:style w:type="paragraph" w:styleId="13">
    <w:name w:val="Body Text"/>
    <w:basedOn w:val="1"/>
    <w:link w:val="112"/>
    <w:autoRedefine/>
    <w:qFormat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autoRedefine/>
    <w:unhideWhenUsed/>
    <w:uiPriority w:val="39"/>
    <w:pPr>
      <w:ind w:left="1680" w:leftChars="800"/>
    </w:pPr>
  </w:style>
  <w:style w:type="paragraph" w:styleId="15">
    <w:name w:val="toc 3"/>
    <w:basedOn w:val="1"/>
    <w:next w:val="1"/>
    <w:autoRedefine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uiPriority w:val="0"/>
    <w:rPr>
      <w:rFonts w:ascii="宋体" w:hAnsi="Courier New" w:cs="Courier New"/>
    </w:rPr>
  </w:style>
  <w:style w:type="paragraph" w:styleId="17">
    <w:name w:val="toc 8"/>
    <w:basedOn w:val="1"/>
    <w:next w:val="1"/>
    <w:autoRedefine/>
    <w:unhideWhenUsed/>
    <w:uiPriority w:val="39"/>
    <w:pPr>
      <w:ind w:left="2940" w:leftChars="1400"/>
    </w:pPr>
  </w:style>
  <w:style w:type="paragraph" w:styleId="18">
    <w:name w:val="Date"/>
    <w:basedOn w:val="1"/>
    <w:next w:val="1"/>
    <w:link w:val="120"/>
    <w:autoRedefine/>
    <w:qFormat/>
    <w:uiPriority w:val="0"/>
    <w:pPr>
      <w:ind w:left="100" w:leftChars="2500"/>
    </w:pPr>
  </w:style>
  <w:style w:type="paragraph" w:styleId="19">
    <w:name w:val="endnote text"/>
    <w:basedOn w:val="1"/>
    <w:link w:val="140"/>
    <w:autoRedefine/>
    <w:semiHidden/>
    <w:unhideWhenUsed/>
    <w:uiPriority w:val="99"/>
    <w:pPr>
      <w:snapToGrid w:val="0"/>
      <w:jc w:val="left"/>
    </w:pPr>
  </w:style>
  <w:style w:type="paragraph" w:styleId="20">
    <w:name w:val="Balloon Text"/>
    <w:basedOn w:val="1"/>
    <w:link w:val="104"/>
    <w:autoRedefine/>
    <w:unhideWhenUsed/>
    <w:qFormat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autoRedefine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autoRedefine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autoRedefine/>
    <w:qFormat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autoRedefine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autoRedefine/>
    <w:unhideWhenUsed/>
    <w:qFormat/>
    <w:uiPriority w:val="39"/>
  </w:style>
  <w:style w:type="paragraph" w:styleId="28">
    <w:name w:val="table of figures"/>
    <w:autoRedefine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sz w:val="20"/>
      <w:szCs w:val="20"/>
      <w:lang w:val="en-US" w:eastAsia="zh-CN" w:bidi="ar-SA"/>
    </w:rPr>
  </w:style>
  <w:style w:type="paragraph" w:styleId="29">
    <w:name w:val="toc 2"/>
    <w:basedOn w:val="24"/>
    <w:next w:val="24"/>
    <w:link w:val="157"/>
    <w:autoRedefine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autoRedefine/>
    <w:unhideWhenUsed/>
    <w:uiPriority w:val="39"/>
    <w:pPr>
      <w:ind w:left="3360" w:leftChars="1600"/>
    </w:pPr>
  </w:style>
  <w:style w:type="paragraph" w:styleId="31">
    <w:name w:val="Normal (Web)"/>
    <w:basedOn w:val="1"/>
    <w:autoRedefine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autoRedefine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autoRedefine/>
    <w:qFormat/>
    <w:uiPriority w:val="0"/>
    <w:pPr>
      <w:jc w:val="left"/>
    </w:pPr>
    <w:rPr>
      <w:b/>
      <w:bCs/>
    </w:rPr>
  </w:style>
  <w:style w:type="table" w:styleId="35">
    <w:name w:val="Table Grid"/>
    <w:basedOn w:val="34"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autoRedefine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autoRedefine/>
    <w:unhideWhenUsed/>
    <w:qFormat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autoRedefine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autoRedefine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autoRedefine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autoRedefine/>
    <w:unhideWhenUsed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autoRedefine/>
    <w:unhideWhenUsed/>
    <w:qFormat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autoRedefine/>
    <w:unhideWhenUsed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autoRedefine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autoRedefine/>
    <w:unhideWhenUsed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autoRedefine/>
    <w:unhideWhenUsed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autoRedefine/>
    <w:unhideWhenUsed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autoRedefine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autoRedefine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autoRedefine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autoRedefine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autoRedefine/>
    <w:qFormat/>
    <w:uiPriority w:val="22"/>
    <w:rPr>
      <w:b/>
      <w:bCs/>
    </w:rPr>
  </w:style>
  <w:style w:type="character" w:styleId="69">
    <w:name w:val="endnote reference"/>
    <w:basedOn w:val="67"/>
    <w:autoRedefine/>
    <w:semiHidden/>
    <w:unhideWhenUsed/>
    <w:uiPriority w:val="99"/>
    <w:rPr>
      <w:vertAlign w:val="superscript"/>
    </w:rPr>
  </w:style>
  <w:style w:type="character" w:styleId="70">
    <w:name w:val="Emphasis"/>
    <w:autoRedefine/>
    <w:uiPriority w:val="0"/>
    <w:rPr>
      <w:i/>
      <w:iCs/>
    </w:rPr>
  </w:style>
  <w:style w:type="character" w:styleId="71">
    <w:name w:val="Hyperlink"/>
    <w:autoRedefine/>
    <w:unhideWhenUsed/>
    <w:qFormat/>
    <w:uiPriority w:val="99"/>
    <w:rPr>
      <w:color w:val="0000FF"/>
      <w:u w:val="single"/>
    </w:rPr>
  </w:style>
  <w:style w:type="character" w:styleId="72">
    <w:name w:val="annotation reference"/>
    <w:autoRedefine/>
    <w:qFormat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uiPriority w:val="99"/>
    <w:rPr>
      <w:sz w:val="18"/>
      <w:szCs w:val="18"/>
    </w:rPr>
  </w:style>
  <w:style w:type="character" w:customStyle="1" w:styleId="75">
    <w:name w:val="标题 1 字符"/>
    <w:basedOn w:val="67"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字符1"/>
    <w:link w:val="4"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字符1"/>
    <w:link w:val="5"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Heading"/>
    <w:basedOn w:val="2"/>
    <w:next w:val="1"/>
    <w:autoRedefine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autoRedefine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Revision"/>
    <w:autoRedefine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autoRedefine/>
    <w:qFormat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autoRedefine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autoRedefine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autoRedefine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autoRedefine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autoRedefine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autoRedefine/>
    <w:qFormat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autoRedefine/>
    <w:qFormat/>
    <w:uiPriority w:val="0"/>
  </w:style>
  <w:style w:type="character" w:customStyle="1" w:styleId="108">
    <w:name w:val="纯文本 字符1"/>
    <w:link w:val="16"/>
    <w:autoRedefine/>
    <w:qFormat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autoRedefine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autoRedefine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autoRedefine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autoRedefine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autoRedefine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autoRedefine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autoRedefine/>
    <w:qFormat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autoRedefine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autoRedefine/>
    <w:qFormat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autoRedefine/>
    <w:qFormat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autoRedefine/>
    <w:qFormat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autoRedefine/>
    <w:qFormat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autoRedefine/>
    <w:qFormat/>
    <w:uiPriority w:val="0"/>
    <w:rPr>
      <w:rFonts w:cs="宋体"/>
    </w:rPr>
  </w:style>
  <w:style w:type="paragraph" w:customStyle="1" w:styleId="125">
    <w:name w:val="样式 11 磅 右"/>
    <w:basedOn w:val="1"/>
    <w:next w:val="1"/>
    <w:autoRedefine/>
    <w:qFormat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autoRedefine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autoRedefine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autoRedefine/>
    <w:qFormat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autoRedefine/>
    <w:qFormat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autoRedefine/>
    <w:qFormat/>
    <w:uiPriority w:val="0"/>
  </w:style>
  <w:style w:type="paragraph" w:styleId="131">
    <w:name w:val="No Spacing"/>
    <w:link w:val="132"/>
    <w:autoRedefine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autoRedefine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autoRedefine/>
    <w:qFormat/>
    <w:uiPriority w:val="0"/>
    <w:rPr>
      <w:b/>
    </w:rPr>
  </w:style>
  <w:style w:type="table" w:customStyle="1" w:styleId="134">
    <w:name w:val="网格表 4 - 着色 13"/>
    <w:basedOn w:val="34"/>
    <w:autoRedefine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autoRedefine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autoRedefine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autoRedefine/>
    <w:semiHidden/>
    <w:unhideWhenUsed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autoRedefine/>
    <w:qFormat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autoRedefine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kern w:val="0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autoRedefine/>
    <w:semiHidden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autoRedefine/>
    <w:semiHidden/>
    <w:unhideWhenUsed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autoRedefine/>
    <w:semiHidden/>
    <w:unhideWhenUsed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autoRedefine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autoRedefine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autoRedefine/>
    <w:qFormat/>
    <w:uiPriority w:val="0"/>
    <w:pPr>
      <w:widowControl/>
      <w:topLinePunct w:val="0"/>
      <w:spacing w:before="320" w:after="8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autoRedefine/>
    <w:uiPriority w:val="0"/>
    <w:rPr>
      <w:rFonts w:ascii="Tahoma" w:hAnsi="Tahoma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表段落 字符"/>
    <w:basedOn w:val="67"/>
    <w:link w:val="113"/>
    <w:autoRedefine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autoRedefine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autoRedefine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autoRedefine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autoRedefine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autoRedefine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autoRedefine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autoRedefine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autoRedefine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autoRedefine/>
    <w:uiPriority w:val="0"/>
    <w:pPr>
      <w:tabs>
        <w:tab w:val="right" w:pos="9736"/>
      </w:tabs>
    </w:pPr>
  </w:style>
  <w:style w:type="character" w:customStyle="1" w:styleId="157">
    <w:name w:val="TOC 2 字符"/>
    <w:basedOn w:val="67"/>
    <w:link w:val="29"/>
    <w:autoRedefine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autoRedefine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autoRedefine/>
    <w:semiHidden/>
    <w:unhideWhenUsed/>
    <w:uiPriority w:val="99"/>
    <w:rPr>
      <w:color w:val="605E5C"/>
      <w:shd w:val="clear" w:color="auto" w:fill="E1DFDD"/>
    </w:rPr>
  </w:style>
  <w:style w:type="table" w:customStyle="1" w:styleId="160">
    <w:name w:val="List Table 2 Accent 4"/>
    <w:basedOn w:val="34"/>
    <w:autoRedefine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autoRedefine/>
    <w:uiPriority w:val="99"/>
    <w:rPr>
      <w:rFonts w:eastAsia="Times New Roman"/>
      <w:color w:val="00B050"/>
      <w:kern w:val="0"/>
      <w:sz w:val="20"/>
      <w:szCs w:val="20"/>
    </w:rPr>
  </w:style>
  <w:style w:type="character" w:customStyle="1" w:styleId="162">
    <w:name w:val="未处理的提及31"/>
    <w:basedOn w:val="67"/>
    <w:autoRedefine/>
    <w:semiHidden/>
    <w:unhideWhenUsed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autoRedefine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autoRedefine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List Table 1 Light Accent 1"/>
    <w:basedOn w:val="34"/>
    <w:autoRedefine/>
    <w:qFormat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autoRedefine/>
    <w:semiHidden/>
    <w:unhideWhenUsed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autoRedefine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autoRedefine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autoRedefine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autoRedefine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autoRedefine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autoRedefine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autoRedefine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autoRedefine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autoRedefine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autoRedefine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autoRedefine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autoRedefine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autoRedefine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autoRedefine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autoRedefine/>
    <w:uiPriority w:val="69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autoRedefine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autoRedefine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autoRedefine/>
    <w:uiPriority w:val="6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autoRedefine/>
    <w:uiPriority w:val="6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autoRedefine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autoRedefine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autoRedefine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autoRedefine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autoRedefine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autoRedefine/>
    <w:semiHidden/>
    <w:unhideWhenUsed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autoRedefine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字符"/>
    <w:basedOn w:val="67"/>
    <w:link w:val="9"/>
    <w:autoRedefine/>
    <w:semiHidden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autoRedefine/>
    <w:semiHidden/>
    <w:unhideWhenUsed/>
    <w:uiPriority w:val="99"/>
    <w:rPr>
      <w:color w:val="605E5C"/>
      <w:shd w:val="clear" w:color="auto" w:fill="E1DFDD"/>
    </w:rPr>
  </w:style>
  <w:style w:type="table" w:customStyle="1" w:styleId="195">
    <w:name w:val="List Table 2 Accent 2"/>
    <w:basedOn w:val="34"/>
    <w:autoRedefine/>
    <w:uiPriority w:val="47"/>
    <w:rPr>
      <w:kern w:val="0"/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autoRedefine/>
    <w:uiPriority w:val="99"/>
    <w:pPr>
      <w:jc w:val="both"/>
    </w:pPr>
    <w:rPr>
      <w:rFonts w:ascii="Calibri" w:hAnsi="Calibri" w:eastAsia="Calibri"/>
      <w:color w:val="000000" w:themeColor="text1"/>
      <w:kern w:val="0"/>
      <w:sz w:val="22"/>
      <w:szCs w:val="20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Grid Table 2"/>
    <w:basedOn w:val="34"/>
    <w:autoRedefine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Grid Table 2 Accent 4"/>
    <w:basedOn w:val="34"/>
    <w:autoRedefine/>
    <w:qFormat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Grid Table 2 Accent 5"/>
    <w:basedOn w:val="34"/>
    <w:autoRedefine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autoRedefine/>
    <w:uiPriority w:val="99"/>
  </w:style>
  <w:style w:type="table" w:customStyle="1" w:styleId="201">
    <w:name w:val="List Table 2 Accent 5"/>
    <w:basedOn w:val="34"/>
    <w:autoRedefine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List Table 1 Light Accent 5"/>
    <w:basedOn w:val="34"/>
    <w:autoRedefine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autoRedefine/>
    <w:qFormat/>
    <w:uiPriority w:val="0"/>
    <w:pPr>
      <w:spacing w:before="80" w:after="80"/>
    </w:pPr>
    <w:rPr>
      <w:rFonts w:ascii="Tahoma" w:hAnsi="Tahoma" w:eastAsia="宋体" w:cstheme="minorBidi"/>
      <w:kern w:val="0"/>
      <w:sz w:val="21"/>
      <w:szCs w:val="22"/>
      <w:lang w:val="en-IN" w:eastAsia="en-US" w:bidi="ar-SA"/>
    </w:rPr>
  </w:style>
  <w:style w:type="character" w:customStyle="1" w:styleId="204">
    <w:name w:val="Unresolved Mention"/>
    <w:basedOn w:val="67"/>
    <w:autoRedefine/>
    <w:semiHidden/>
    <w:unhideWhenUsed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hart" Target="charts/chart1.xml"/><Relationship Id="rId8" Type="http://schemas.openxmlformats.org/officeDocument/2006/relationships/theme" Target="theme/theme1.xml"/><Relationship Id="rId7" Type="http://schemas.openxmlformats.org/officeDocument/2006/relationships/footer" Target="footer1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customXml" Target="../customXml/item2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image" Target="media/image3.png"/><Relationship Id="rId13" Type="http://schemas.openxmlformats.org/officeDocument/2006/relationships/chart" Target="charts/chart5.xml"/><Relationship Id="rId12" Type="http://schemas.openxmlformats.org/officeDocument/2006/relationships/chart" Target="charts/chart4.xml"/><Relationship Id="rId11" Type="http://schemas.openxmlformats.org/officeDocument/2006/relationships/chart" Target="charts/chart3.xml"/><Relationship Id="rId10" Type="http://schemas.openxmlformats.org/officeDocument/2006/relationships/chart" Target="charts/chart2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charts/_rels/chart1.xml.rels><?xml version="1.0" encoding="UTF-8" standalone="yes"?>
<Relationships xmlns="http://schemas.openxmlformats.org/package/2006/relationships"><Relationship Id="rId4" Type="http://schemas.microsoft.com/office/2011/relationships/chartColorStyle" Target="colors2.xml"/><Relationship Id="rId3" Type="http://schemas.microsoft.com/office/2011/relationships/chartStyle" Target="style2.xml"/><Relationship Id="rId2" Type="http://schemas.openxmlformats.org/officeDocument/2006/relationships/chartUserShapes" Target="../drawings/drawing1.xml"/><Relationship Id="rId1" Type="http://schemas.openxmlformats.org/officeDocument/2006/relationships/oleObject" Target="file:///F:\286.&#30446;&#24405;&#12289;&#33410;&#36873;\&#35266;&#28857;&#25991;&#20214;\7.Molecular%20Interaction%20Analyzer&#20998;&#23376;&#20114;&#20316;&#20202;\&#35266;&#28857;&#25968;&#25454;&#22270;&#34920;&#27169;&#26495;-&#27169;&#26495;%2020240426%20&#20026;&#20934;.xlsx" TargetMode="External"/></Relationships>
</file>

<file path=word/charts/_rels/chart2.xml.rels><?xml version="1.0" encoding="UTF-8" standalone="yes"?>
<Relationships xmlns="http://schemas.openxmlformats.org/package/2006/relationships"><Relationship Id="rId3" Type="http://schemas.microsoft.com/office/2011/relationships/chartColorStyle" Target="colors4.xml"/><Relationship Id="rId2" Type="http://schemas.microsoft.com/office/2011/relationships/chartStyle" Target="style4.xml"/><Relationship Id="rId1" Type="http://schemas.openxmlformats.org/officeDocument/2006/relationships/oleObject" Target="file:///F:\286.&#30446;&#24405;&#12289;&#33410;&#36873;\&#35266;&#28857;&#25991;&#20214;\7.Molecular%20Interaction%20Analyzer&#20998;&#23376;&#20114;&#20316;&#20202;\&#35266;&#28857;&#25968;&#25454;&#22270;&#34920;&#27169;&#26495;-&#27169;&#26495;%2020240426%20&#20026;&#20934;.xlsx" TargetMode="External"/></Relationships>
</file>

<file path=word/charts/_rels/chart3.xml.rels><?xml version="1.0" encoding="UTF-8" standalone="yes"?>
<Relationships xmlns="http://schemas.openxmlformats.org/package/2006/relationships"><Relationship Id="rId3" Type="http://schemas.microsoft.com/office/2011/relationships/chartColorStyle" Target="colors5.xml"/><Relationship Id="rId2" Type="http://schemas.microsoft.com/office/2011/relationships/chartStyle" Target="style5.xml"/><Relationship Id="rId1" Type="http://schemas.openxmlformats.org/officeDocument/2006/relationships/oleObject" Target="file:///F:\286.&#30446;&#24405;&#12289;&#33410;&#36873;\&#35266;&#28857;&#25991;&#20214;\7.Molecular%20Interaction%20Analyzer&#20998;&#23376;&#20114;&#20316;&#20202;\&#35266;&#28857;&#25968;&#25454;&#22270;&#34920;&#27169;&#26495;-&#27169;&#26495;%2020240426%20&#20026;&#20934;.xlsx" TargetMode="External"/></Relationships>
</file>

<file path=word/charts/_rels/chart4.xml.rels><?xml version="1.0" encoding="UTF-8" standalone="yes"?>
<Relationships xmlns="http://schemas.openxmlformats.org/package/2006/relationships"><Relationship Id="rId3" Type="http://schemas.microsoft.com/office/2011/relationships/chartColorStyle" Target="colors1.xml"/><Relationship Id="rId2" Type="http://schemas.microsoft.com/office/2011/relationships/chartStyle" Target="style1.xml"/><Relationship Id="rId1" Type="http://schemas.openxmlformats.org/officeDocument/2006/relationships/oleObject" Target="file:///F:\286.&#30446;&#24405;&#12289;&#33410;&#36873;\&#35266;&#28857;&#25991;&#20214;\7.Molecular%20Interaction%20Analyzer&#20998;&#23376;&#20114;&#20316;&#20202;\&#35266;&#28857;&#25968;&#25454;&#22270;&#34920;&#27169;&#26495;-&#27169;&#26495;%2020240426%20&#20026;&#20934;.xlsx" TargetMode="External"/></Relationships>
</file>

<file path=word/charts/_rels/chart5.xml.rels><?xml version="1.0" encoding="UTF-8" standalone="yes"?>
<Relationships xmlns="http://schemas.openxmlformats.org/package/2006/relationships"><Relationship Id="rId3" Type="http://schemas.microsoft.com/office/2011/relationships/chartColorStyle" Target="colors3.xml"/><Relationship Id="rId2" Type="http://schemas.microsoft.com/office/2011/relationships/chartStyle" Target="style3.xml"/><Relationship Id="rId1" Type="http://schemas.openxmlformats.org/officeDocument/2006/relationships/oleObject" Target="file:///F:\286.&#30446;&#24405;&#12289;&#33410;&#36873;\&#35266;&#28857;&#25991;&#20214;\7.Molecular%20Interaction%20Analyzer&#20998;&#23376;&#20114;&#20316;&#20202;\&#35266;&#28857;&#25968;&#25454;&#22270;&#34920;&#27169;&#26495;-&#27169;&#26495;%2020240426%20&#20026;&#20934;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+mn-ea"/>
                <a:cs typeface="Times New Roman" panose="02020603050405020304" charset="0"/>
              </a:defRPr>
            </a:pPr>
            <a:r>
              <a:rPr lang="en-US"/>
              <a:t>Global Market Size ($ Mn)</a:t>
            </a:r>
            <a:endParaRPr lang="en-US"/>
          </a:p>
        </c:rich>
      </c:tx>
      <c:layout/>
      <c:overlay val="0"/>
      <c:spPr>
        <a:noFill/>
        <a:ln>
          <a:noFill/>
        </a:ln>
        <a:effectLst/>
      </c:spPr>
    </c:title>
    <c:autoTitleDeleted val="0"/>
    <c:plotArea>
      <c:layout>
        <c:manualLayout>
          <c:layoutTarget val="inner"/>
          <c:xMode val="edge"/>
          <c:yMode val="edge"/>
          <c:x val="0.0333680629718612"/>
          <c:y val="0.131440849673203"/>
          <c:w val="0.937283950617284"/>
          <c:h val="0.793030392156863"/>
        </c:manualLayout>
      </c:layout>
      <c:barChart>
        <c:barDir val="col"/>
        <c:grouping val="stacked"/>
        <c:varyColors val="0"/>
        <c:ser>
          <c:idx val="0"/>
          <c:order val="0"/>
          <c:tx>
            <c:strRef>
              <c:f>全球总体!$R$7</c:f>
              <c:strCache>
                <c:ptCount val="1"/>
                <c:pt idx="0">
                  <c:v>Global Market Size ($ Mn)</c:v>
                </c:pt>
              </c:strCache>
            </c:strRef>
          </c:tx>
          <c:spPr>
            <a:solidFill>
              <a:srgbClr val="002060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全球总体!$S$6:$U$6</c:f>
              <c:numCache>
                <c:formatCode>General</c:formatCode>
                <c:ptCount val="3"/>
                <c:pt idx="0">
                  <c:v>2019</c:v>
                </c:pt>
                <c:pt idx="1">
                  <c:v>2024</c:v>
                </c:pt>
                <c:pt idx="2">
                  <c:v>2030</c:v>
                </c:pt>
              </c:numCache>
            </c:numRef>
          </c:cat>
          <c:val>
            <c:numRef>
              <c:f>全球总体!$S$7:$U$7</c:f>
              <c:numCache>
                <c:formatCode>#,##0_ </c:formatCode>
                <c:ptCount val="3"/>
                <c:pt idx="0">
                  <c:v>239.92</c:v>
                </c:pt>
                <c:pt idx="1">
                  <c:v>261.17</c:v>
                </c:pt>
                <c:pt idx="2">
                  <c:v>369.9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100"/>
        <c:serLines>
          <c:spPr>
            <a:ln w="15875" cap="sq" cmpd="sng" algn="ctr">
              <a:solidFill>
                <a:srgbClr val="002060"/>
              </a:solidFill>
              <a:round/>
              <a:headEnd type="triangle"/>
            </a:ln>
            <a:effectLst/>
          </c:spPr>
        </c:serLines>
        <c:axId val="719571343"/>
        <c:axId val="481370671"/>
      </c:barChart>
      <c:catAx>
        <c:axId val="71957134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+mn-ea"/>
                <a:cs typeface="Times New Roman" panose="02020603050405020304" charset="0"/>
              </a:defRPr>
            </a:pPr>
          </a:p>
        </c:txPr>
        <c:crossAx val="481370671"/>
        <c:crosses val="autoZero"/>
        <c:auto val="1"/>
        <c:lblAlgn val="ctr"/>
        <c:lblOffset val="100"/>
        <c:noMultiLvlLbl val="0"/>
      </c:catAx>
      <c:valAx>
        <c:axId val="481370671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_ 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+mn-ea"/>
                <a:cs typeface="Times New Roman" panose="02020603050405020304" charset="0"/>
              </a:defRPr>
            </a:pPr>
          </a:p>
        </c:txPr>
        <c:crossAx val="71957134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>
          <a:latin typeface="Times New Roman" panose="02020603050405020304" charset="0"/>
          <a:cs typeface="Times New Roman" panose="02020603050405020304" charset="0"/>
        </a:defRPr>
      </a:pPr>
    </a:p>
  </c:tx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宋体" panose="02010600030101010101" charset="-122"/>
                <a:cs typeface="+mn-cs"/>
              </a:defRPr>
            </a:pPr>
            <a:r>
              <a:rPr lang="zh-CN" sz="1100"/>
              <a:t>全球市场主要企业排名</a:t>
            </a:r>
            <a:endParaRPr lang="en-US" sz="1100"/>
          </a:p>
        </c:rich>
      </c:tx>
      <c:layout>
        <c:manualLayout>
          <c:xMode val="edge"/>
          <c:yMode val="edge"/>
          <c:x val="0.332020778652668"/>
          <c:y val="0.0346320818516983"/>
        </c:manualLayout>
      </c:layout>
      <c:overlay val="0"/>
      <c:spPr>
        <a:noFill/>
        <a:ln>
          <a:noFill/>
        </a:ln>
        <a:effectLst/>
      </c:spPr>
    </c:title>
    <c:autoTitleDeleted val="0"/>
    <c:plotArea>
      <c:layout/>
      <c:barChart>
        <c:barDir val="bar"/>
        <c:grouping val="clustered"/>
        <c:varyColors val="1"/>
        <c:ser>
          <c:idx val="0"/>
          <c:order val="0"/>
          <c:tx>
            <c:strRef>
              <c:f>企业收入!$I$1</c:f>
              <c:strCache>
                <c:ptCount val="1"/>
                <c:pt idx="0">
                  <c:v>2023</c:v>
                </c:pt>
              </c:strCache>
            </c:strRef>
          </c:tx>
          <c:spPr>
            <a:solidFill>
              <a:srgbClr val="002060"/>
            </a:solidFill>
          </c:spPr>
          <c:invertIfNegative val="0"/>
          <c:dPt>
            <c:idx val="0"/>
            <c:invertIfNegative val="0"/>
            <c:bubble3D val="0"/>
            <c:spPr>
              <a:solidFill>
                <a:srgbClr val="002060"/>
              </a:solidFill>
              <a:ln>
                <a:noFill/>
              </a:ln>
              <a:effectLst/>
            </c:spPr>
          </c:dPt>
          <c:dPt>
            <c:idx val="1"/>
            <c:invertIfNegative val="0"/>
            <c:bubble3D val="0"/>
            <c:spPr>
              <a:solidFill>
                <a:srgbClr val="002060"/>
              </a:solidFill>
              <a:ln>
                <a:noFill/>
              </a:ln>
              <a:effectLst/>
            </c:spPr>
          </c:dPt>
          <c:dPt>
            <c:idx val="2"/>
            <c:invertIfNegative val="0"/>
            <c:bubble3D val="0"/>
            <c:spPr>
              <a:solidFill>
                <a:srgbClr val="002060"/>
              </a:solidFill>
              <a:ln>
                <a:noFill/>
              </a:ln>
              <a:effectLst/>
            </c:spPr>
          </c:dPt>
          <c:dPt>
            <c:idx val="3"/>
            <c:invertIfNegative val="0"/>
            <c:bubble3D val="0"/>
            <c:spPr>
              <a:solidFill>
                <a:srgbClr val="002060"/>
              </a:solidFill>
              <a:ln>
                <a:noFill/>
              </a:ln>
              <a:effectLst/>
            </c:spPr>
          </c:dPt>
          <c:dPt>
            <c:idx val="4"/>
            <c:invertIfNegative val="0"/>
            <c:bubble3D val="0"/>
            <c:spPr>
              <a:solidFill>
                <a:srgbClr val="002060"/>
              </a:solidFill>
              <a:ln>
                <a:noFill/>
              </a:ln>
              <a:effectLst/>
            </c:spPr>
          </c:dPt>
          <c:dPt>
            <c:idx val="5"/>
            <c:invertIfNegative val="0"/>
            <c:bubble3D val="0"/>
            <c:spPr>
              <a:solidFill>
                <a:srgbClr val="002060"/>
              </a:solidFill>
              <a:ln>
                <a:noFill/>
              </a:ln>
              <a:effectLst/>
            </c:spPr>
          </c:dPt>
          <c:dPt>
            <c:idx val="6"/>
            <c:invertIfNegative val="0"/>
            <c:bubble3D val="0"/>
            <c:spPr>
              <a:solidFill>
                <a:srgbClr val="002060"/>
              </a:solidFill>
              <a:ln>
                <a:noFill/>
              </a:ln>
              <a:effectLst/>
            </c:spPr>
          </c:dPt>
          <c:dPt>
            <c:idx val="7"/>
            <c:invertIfNegative val="0"/>
            <c:bubble3D val="0"/>
            <c:spPr>
              <a:solidFill>
                <a:srgbClr val="002060"/>
              </a:solidFill>
              <a:ln>
                <a:noFill/>
              </a:ln>
              <a:effectLst/>
            </c:spPr>
          </c:dPt>
          <c:dPt>
            <c:idx val="8"/>
            <c:invertIfNegative val="0"/>
            <c:bubble3D val="0"/>
            <c:spPr>
              <a:solidFill>
                <a:srgbClr val="002060"/>
              </a:solidFill>
              <a:ln>
                <a:noFill/>
              </a:ln>
              <a:effectLst/>
            </c:spPr>
          </c:dPt>
          <c:dPt>
            <c:idx val="9"/>
            <c:invertIfNegative val="0"/>
            <c:bubble3D val="0"/>
            <c:spPr>
              <a:solidFill>
                <a:srgbClr val="002060"/>
              </a:solidFill>
              <a:ln>
                <a:noFill/>
              </a:ln>
              <a:effectLst/>
            </c:spPr>
          </c:dPt>
          <c:dPt>
            <c:idx val="10"/>
            <c:invertIfNegative val="0"/>
            <c:bubble3D val="0"/>
            <c:spPr>
              <a:solidFill>
                <a:srgbClr val="002060"/>
              </a:solidFill>
              <a:ln>
                <a:noFill/>
              </a:ln>
              <a:effectLst/>
            </c:spPr>
          </c:dPt>
          <c:dPt>
            <c:idx val="11"/>
            <c:invertIfNegative val="0"/>
            <c:bubble3D val="0"/>
            <c:spPr>
              <a:solidFill>
                <a:srgbClr val="002060"/>
              </a:solidFill>
              <a:ln>
                <a:noFill/>
              </a:ln>
              <a:effectLst/>
            </c:spPr>
          </c:dPt>
          <c:dPt>
            <c:idx val="12"/>
            <c:invertIfNegative val="0"/>
            <c:bubble3D val="0"/>
            <c:spPr>
              <a:solidFill>
                <a:srgbClr val="002060"/>
              </a:solidFill>
              <a:ln>
                <a:noFill/>
              </a:ln>
              <a:effectLst/>
            </c:spPr>
          </c:dPt>
          <c:dLbls>
            <c:delete val="1"/>
          </c:dLbls>
          <c:cat>
            <c:strRef>
              <c:f>企业收入!$H$2:$H$21</c:f>
              <c:strCache>
                <c:ptCount val="13"/>
                <c:pt idx="0">
                  <c:v>Sartorius</c:v>
                </c:pt>
                <c:pt idx="1">
                  <c:v>Cytiva</c:v>
                </c:pt>
                <c:pt idx="2">
                  <c:v>NanoTemper</c:v>
                </c:pt>
                <c:pt idx="3">
                  <c:v>Malvern Panalytical</c:v>
                </c:pt>
                <c:pt idx="4">
                  <c:v>Nicoya</c:v>
                </c:pt>
                <c:pt idx="5">
                  <c:v>Bruker</c:v>
                </c:pt>
                <c:pt idx="6">
                  <c:v>Gator Bio</c:v>
                </c:pt>
                <c:pt idx="7">
                  <c:v>Reichert</c:v>
                </c:pt>
                <c:pt idx="8">
                  <c:v>TA Instruments</c:v>
                </c:pt>
                <c:pt idx="9">
                  <c:v>Affinite</c:v>
                </c:pt>
                <c:pt idx="10">
                  <c:v>Plasmetrix</c:v>
                </c:pt>
                <c:pt idx="11">
                  <c:v>BioNavis</c:v>
                </c:pt>
                <c:pt idx="12">
                  <c:v>北京英柏生物科技有限公司</c:v>
                </c:pt>
              </c:strCache>
            </c:strRef>
          </c:cat>
          <c:val>
            <c:numRef>
              <c:f>企业收入!$I$2:$I$21</c:f>
              <c:numCache>
                <c:formatCode>0.0%</c:formatCode>
                <c:ptCount val="13"/>
                <c:pt idx="0">
                  <c:v>0.3183268203206</c:v>
                </c:pt>
                <c:pt idx="1">
                  <c:v>0.317090677087487</c:v>
                </c:pt>
                <c:pt idx="2">
                  <c:v>0.095701411595821</c:v>
                </c:pt>
                <c:pt idx="3">
                  <c:v>0.0295478108302097</c:v>
                </c:pt>
                <c:pt idx="4">
                  <c:v>0.0269957731876545</c:v>
                </c:pt>
                <c:pt idx="5">
                  <c:v>0.0207353058457612</c:v>
                </c:pt>
                <c:pt idx="6">
                  <c:v>0.018741526437515</c:v>
                </c:pt>
                <c:pt idx="7">
                  <c:v>0.0160299864423</c:v>
                </c:pt>
                <c:pt idx="8">
                  <c:v>0.0132785708589202</c:v>
                </c:pt>
                <c:pt idx="9">
                  <c:v>0.00917138527793285</c:v>
                </c:pt>
                <c:pt idx="10">
                  <c:v>0.00829412233830449</c:v>
                </c:pt>
                <c:pt idx="11">
                  <c:v>0.00494457293245075</c:v>
                </c:pt>
                <c:pt idx="12">
                  <c:v>0.00418693675731717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45"/>
        <c:axId val="1272139183"/>
        <c:axId val="1326546959"/>
      </c:barChart>
      <c:catAx>
        <c:axId val="1272139183"/>
        <c:scaling>
          <c:orientation val="maxMin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宋体" panose="02010600030101010101" charset="-122"/>
                <a:cs typeface="+mn-cs"/>
              </a:defRPr>
            </a:pPr>
          </a:p>
        </c:txPr>
        <c:crossAx val="1326546959"/>
        <c:crosses val="autoZero"/>
        <c:auto val="1"/>
        <c:lblAlgn val="ctr"/>
        <c:lblOffset val="100"/>
        <c:noMultiLvlLbl val="0"/>
      </c:catAx>
      <c:valAx>
        <c:axId val="1326546959"/>
        <c:scaling>
          <c:orientation val="minMax"/>
        </c:scaling>
        <c:delete val="0"/>
        <c:axPos val="t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0.0%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宋体" panose="02010600030101010101" charset="-122"/>
                <a:cs typeface="+mn-cs"/>
              </a:defRPr>
            </a:pPr>
          </a:p>
        </c:txPr>
        <c:crossAx val="127213918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 baseline="0">
          <a:latin typeface="Times New Roman" panose="02020603050405020304" charset="0"/>
          <a:ea typeface="宋体" panose="02010600030101010101" charset="-122"/>
        </a:defRPr>
      </a:pPr>
    </a:p>
  </c:txPr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percentStacked"/>
        <c:varyColors val="0"/>
        <c:ser>
          <c:idx val="0"/>
          <c:order val="0"/>
          <c:tx>
            <c:strRef>
              <c:f>分类!$R$2</c:f>
              <c:strCache>
                <c:ptCount val="1"/>
                <c:pt idx="0">
                  <c:v>Surface Plasmon Resonance (SPR)</c:v>
                </c:pt>
              </c:strCache>
            </c:strRef>
          </c:tx>
          <c:spPr>
            <a:solidFill>
              <a:srgbClr val="002060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分类!$S$1:$AD$1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分类!$S$2:$AD$2</c:f>
              <c:numCache>
                <c:formatCode>0.0%</c:formatCode>
                <c:ptCount val="12"/>
                <c:pt idx="0">
                  <c:v>0.51133711237079</c:v>
                </c:pt>
                <c:pt idx="1">
                  <c:v>0.498337228114327</c:v>
                </c:pt>
                <c:pt idx="2">
                  <c:v>0.5</c:v>
                </c:pt>
                <c:pt idx="3">
                  <c:v>0.496969920922327</c:v>
                </c:pt>
                <c:pt idx="4">
                  <c:v>0.480301459446527</c:v>
                </c:pt>
                <c:pt idx="5">
                  <c:v>0.473408124976069</c:v>
                </c:pt>
                <c:pt idx="6">
                  <c:v>0.46869549741947</c:v>
                </c:pt>
                <c:pt idx="7">
                  <c:v>0.464723306853373</c:v>
                </c:pt>
                <c:pt idx="8">
                  <c:v>0.461263674927439</c:v>
                </c:pt>
                <c:pt idx="9">
                  <c:v>0.456399951284862</c:v>
                </c:pt>
                <c:pt idx="10">
                  <c:v>0.451119699897692</c:v>
                </c:pt>
                <c:pt idx="11">
                  <c:v>0.451824817518248</c:v>
                </c:pt>
              </c:numCache>
            </c:numRef>
          </c:val>
        </c:ser>
        <c:ser>
          <c:idx val="1"/>
          <c:order val="1"/>
          <c:tx>
            <c:strRef>
              <c:f>分类!$R$3</c:f>
              <c:strCache>
                <c:ptCount val="1"/>
                <c:pt idx="0">
                  <c:v>Biolayer Interferometry (BLI)</c:v>
                </c:pt>
              </c:strCache>
            </c:strRef>
          </c:tx>
          <c:spPr>
            <a:solidFill>
              <a:schemeClr val="bg1">
                <a:lumMod val="5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分类!$S$1:$AD$1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分类!$S$3:$AD$3</c:f>
              <c:numCache>
                <c:formatCode>0.0%</c:formatCode>
                <c:ptCount val="12"/>
                <c:pt idx="0">
                  <c:v>0.356868956318773</c:v>
                </c:pt>
                <c:pt idx="1">
                  <c:v>0.369449937084307</c:v>
                </c:pt>
                <c:pt idx="2">
                  <c:v>0.370986826536247</c:v>
                </c:pt>
                <c:pt idx="3">
                  <c:v>0.379166358731801</c:v>
                </c:pt>
                <c:pt idx="4">
                  <c:v>0.394249940186618</c:v>
                </c:pt>
                <c:pt idx="5">
                  <c:v>0.401615805796991</c:v>
                </c:pt>
                <c:pt idx="6">
                  <c:v>0.406371240434241</c:v>
                </c:pt>
                <c:pt idx="7">
                  <c:v>0.410360845563485</c:v>
                </c:pt>
                <c:pt idx="8">
                  <c:v>0.415239371033075</c:v>
                </c:pt>
                <c:pt idx="9">
                  <c:v>0.420107173304104</c:v>
                </c:pt>
                <c:pt idx="10">
                  <c:v>0.425343867227464</c:v>
                </c:pt>
                <c:pt idx="11">
                  <c:v>0.426412543930792</c:v>
                </c:pt>
              </c:numCache>
            </c:numRef>
          </c:val>
        </c:ser>
        <c:ser>
          <c:idx val="2"/>
          <c:order val="2"/>
          <c:tx>
            <c:strRef>
              <c:f>分类!$R$4</c:f>
              <c:strCache>
                <c:ptCount val="1"/>
                <c:pt idx="0">
                  <c:v>Others</c:v>
                </c:pt>
              </c:strCache>
            </c:strRef>
          </c:tx>
          <c:spPr>
            <a:solidFill>
              <a:srgbClr val="0070C0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分类!$S$1:$AD$1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分类!$S$4:$AD$4</c:f>
              <c:numCache>
                <c:formatCode>0.0%</c:formatCode>
                <c:ptCount val="12"/>
                <c:pt idx="0">
                  <c:v>0.131793931310437</c:v>
                </c:pt>
                <c:pt idx="1">
                  <c:v>0.132212834801366</c:v>
                </c:pt>
                <c:pt idx="2">
                  <c:v>0.129013173463753</c:v>
                </c:pt>
                <c:pt idx="3">
                  <c:v>0.123863720345872</c:v>
                </c:pt>
                <c:pt idx="4">
                  <c:v>0.125448600366855</c:v>
                </c:pt>
                <c:pt idx="5">
                  <c:v>0.12497606922694</c:v>
                </c:pt>
                <c:pt idx="6">
                  <c:v>0.124933262146289</c:v>
                </c:pt>
                <c:pt idx="7">
                  <c:v>0.124915847583143</c:v>
                </c:pt>
                <c:pt idx="8">
                  <c:v>0.123496954039486</c:v>
                </c:pt>
                <c:pt idx="9">
                  <c:v>0.123492875411034</c:v>
                </c:pt>
                <c:pt idx="10">
                  <c:v>0.123536432874844</c:v>
                </c:pt>
                <c:pt idx="11">
                  <c:v>0.12176263855096</c:v>
                </c:pt>
              </c:numCache>
            </c:numRef>
          </c:val>
        </c:ser>
        <c:ser>
          <c:idx val="3"/>
          <c:order val="3"/>
          <c:tx>
            <c:strRef>
              <c:f>分类!$R$5</c:f>
              <c:strCache>
                <c:ptCount val="1"/>
                <c:pt idx="0">
                  <c:v>0</c:v>
                </c:pt>
              </c:strCache>
            </c:strRef>
          </c:tx>
          <c:spPr>
            <a:solidFill>
              <a:srgbClr val="FFC000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分类!$S$1:$AD$1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分类!$S$5:$AD$5</c:f>
            </c:numRef>
          </c:val>
        </c:ser>
        <c:ser>
          <c:idx val="4"/>
          <c:order val="4"/>
          <c:tx>
            <c:strRef>
              <c:f>分类!$R$6</c:f>
              <c:strCache>
                <c:ptCount val="1"/>
                <c:pt idx="0">
                  <c:v>0</c:v>
                </c:pt>
              </c:strCache>
            </c:strRef>
          </c:tx>
          <c:spPr>
            <a:solidFill>
              <a:schemeClr val="tx1">
                <a:lumMod val="65000"/>
                <a:lumOff val="35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分类!$S$1:$AD$1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分类!$S$6:$AD$6</c:f>
            </c:numRef>
          </c:val>
        </c:ser>
        <c:ser>
          <c:idx val="5"/>
          <c:order val="5"/>
          <c:tx>
            <c:strRef>
              <c:f>分类!$R$7</c:f>
              <c:strCache>
                <c:ptCount val="1"/>
                <c:pt idx="0">
                  <c:v>0</c:v>
                </c:pt>
              </c:strCache>
            </c:strRef>
          </c:tx>
          <c:spPr>
            <a:solidFill>
              <a:srgbClr val="C00000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分类!$S$1:$AD$1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分类!$S$7:$AD$7</c:f>
            </c:numRef>
          </c:val>
        </c:ser>
        <c:ser>
          <c:idx val="6"/>
          <c:order val="6"/>
          <c:tx>
            <c:strRef>
              <c:f>分类!$R$8</c:f>
              <c:strCache>
                <c:ptCount val="1"/>
                <c:pt idx="0">
                  <c:v>0</c:v>
                </c:pt>
              </c:strCache>
            </c:strRef>
          </c:tx>
          <c:spPr>
            <a:solidFill>
              <a:srgbClr val="7030A0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分类!$S$1:$AD$1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分类!$S$8:$AD$8</c:f>
            </c:numRef>
          </c:val>
        </c:ser>
        <c:ser>
          <c:idx val="7"/>
          <c:order val="7"/>
          <c:tx>
            <c:strRef>
              <c:f>分类!$R$9</c:f>
              <c:strCache>
                <c:ptCount val="1"/>
                <c:pt idx="0">
                  <c:v>0</c:v>
                </c:pt>
              </c:strCache>
            </c:strRef>
          </c:tx>
          <c:spPr>
            <a:solidFill>
              <a:schemeClr val="tx2">
                <a:lumMod val="60000"/>
                <a:lumOff val="4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分类!$S$1:$AD$1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分类!$S$9:$AD$9</c:f>
            </c:numRef>
          </c:val>
        </c:ser>
        <c:ser>
          <c:idx val="8"/>
          <c:order val="8"/>
          <c:tx>
            <c:strRef>
              <c:f>分类!$R$10</c:f>
              <c:strCache>
                <c:ptCount val="1"/>
                <c:pt idx="0">
                  <c:v>0</c:v>
                </c:pt>
              </c:strCache>
            </c:strRef>
          </c:tx>
          <c:spPr>
            <a:solidFill>
              <a:schemeClr val="accent6">
                <a:lumMod val="75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分类!$S$1:$AD$1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分类!$S$10:$AD$10</c:f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45"/>
        <c:overlap val="100"/>
        <c:axId val="1897692240"/>
        <c:axId val="1897707216"/>
      </c:barChart>
      <c:catAx>
        <c:axId val="189769224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+mn-ea"/>
                <a:cs typeface="Times New Roman" panose="02020603050405020304" charset="0"/>
              </a:defRPr>
            </a:pPr>
          </a:p>
        </c:txPr>
        <c:crossAx val="1897707216"/>
        <c:crosses val="autoZero"/>
        <c:auto val="1"/>
        <c:lblAlgn val="ctr"/>
        <c:lblOffset val="100"/>
        <c:noMultiLvlLbl val="0"/>
      </c:catAx>
      <c:valAx>
        <c:axId val="1897707216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0%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+mn-ea"/>
                <a:cs typeface="Times New Roman" panose="02020603050405020304" charset="0"/>
              </a:defRPr>
            </a:pPr>
          </a:p>
        </c:txPr>
        <c:crossAx val="189769224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zh-CN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charset="0"/>
              <a:ea typeface="+mn-ea"/>
              <a:cs typeface="Times New Roman" panose="02020603050405020304" charset="0"/>
            </a:defRPr>
          </a:pPr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691853448275862"/>
          <c:y val="0.03175"/>
          <c:w val="0.897009594053696"/>
          <c:h val="0.755441666666667"/>
        </c:manualLayout>
      </c:layout>
      <c:barChart>
        <c:barDir val="col"/>
        <c:grouping val="stacked"/>
        <c:varyColors val="0"/>
        <c:ser>
          <c:idx val="0"/>
          <c:order val="0"/>
          <c:tx>
            <c:strRef>
              <c:f>应用!$A$2</c:f>
              <c:strCache>
                <c:ptCount val="1"/>
                <c:pt idx="0">
                  <c:v>Pharmaceutical and Biotech Companies</c:v>
                </c:pt>
              </c:strCache>
            </c:strRef>
          </c:tx>
          <c:spPr>
            <a:solidFill>
              <a:srgbClr val="002060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应用!$B$1:$M$1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应用!$B$2:$M$2</c:f>
              <c:numCache>
                <c:formatCode>#,##0_);[Red]\(#,##0\)</c:formatCode>
                <c:ptCount val="12"/>
                <c:pt idx="0">
                  <c:v>132.7</c:v>
                </c:pt>
                <c:pt idx="1">
                  <c:v>122.82</c:v>
                </c:pt>
                <c:pt idx="2">
                  <c:v>139.72</c:v>
                </c:pt>
                <c:pt idx="3">
                  <c:v>148.85</c:v>
                </c:pt>
                <c:pt idx="4">
                  <c:v>138.43</c:v>
                </c:pt>
                <c:pt idx="5">
                  <c:v>143.76</c:v>
                </c:pt>
                <c:pt idx="6">
                  <c:v>154.32</c:v>
                </c:pt>
                <c:pt idx="7">
                  <c:v>163.21</c:v>
                </c:pt>
                <c:pt idx="8">
                  <c:v>172.29</c:v>
                </c:pt>
                <c:pt idx="9">
                  <c:v>180.12</c:v>
                </c:pt>
                <c:pt idx="10">
                  <c:v>192.74</c:v>
                </c:pt>
                <c:pt idx="11">
                  <c:v>202.43</c:v>
                </c:pt>
              </c:numCache>
            </c:numRef>
          </c:val>
        </c:ser>
        <c:ser>
          <c:idx val="1"/>
          <c:order val="1"/>
          <c:tx>
            <c:strRef>
              <c:f>应用!$A$3</c:f>
              <c:strCache>
                <c:ptCount val="1"/>
                <c:pt idx="0">
                  <c:v>Universities and Research Institutes</c:v>
                </c:pt>
              </c:strCache>
            </c:strRef>
          </c:tx>
          <c:spPr>
            <a:solidFill>
              <a:schemeClr val="bg1">
                <a:lumMod val="5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应用!$B$1:$M$1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应用!$B$3:$M$3</c:f>
              <c:numCache>
                <c:formatCode>#,##0_);[Red]\(#,##0\)</c:formatCode>
                <c:ptCount val="12"/>
                <c:pt idx="0">
                  <c:v>94.49</c:v>
                </c:pt>
                <c:pt idx="1">
                  <c:v>87.85</c:v>
                </c:pt>
                <c:pt idx="2">
                  <c:v>100.52</c:v>
                </c:pt>
                <c:pt idx="3">
                  <c:v>107.62</c:v>
                </c:pt>
                <c:pt idx="4">
                  <c:v>99.39</c:v>
                </c:pt>
                <c:pt idx="5">
                  <c:v>104.01</c:v>
                </c:pt>
                <c:pt idx="6">
                  <c:v>112.15</c:v>
                </c:pt>
                <c:pt idx="7">
                  <c:v>118.6</c:v>
                </c:pt>
                <c:pt idx="8">
                  <c:v>125.34</c:v>
                </c:pt>
                <c:pt idx="9">
                  <c:v>131.72</c:v>
                </c:pt>
                <c:pt idx="10">
                  <c:v>141.44</c:v>
                </c:pt>
                <c:pt idx="11">
                  <c:v>149.08</c:v>
                </c:pt>
              </c:numCache>
            </c:numRef>
          </c:val>
        </c:ser>
        <c:ser>
          <c:idx val="2"/>
          <c:order val="2"/>
          <c:tx>
            <c:strRef>
              <c:f>应用!$A$4</c:f>
              <c:strCache>
                <c:ptCount val="1"/>
                <c:pt idx="0">
                  <c:v>Hospitals</c:v>
                </c:pt>
              </c:strCache>
            </c:strRef>
          </c:tx>
          <c:spPr>
            <a:solidFill>
              <a:schemeClr val="accent6">
                <a:lumMod val="75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应用!$B$1:$M$1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应用!$B$4:$M$4</c:f>
              <c:numCache>
                <c:formatCode>#,##0_);[Red]\(#,##0\)</c:formatCode>
                <c:ptCount val="12"/>
                <c:pt idx="0">
                  <c:v>12.73</c:v>
                </c:pt>
                <c:pt idx="1">
                  <c:v>11.85</c:v>
                </c:pt>
                <c:pt idx="2">
                  <c:v>13.3</c:v>
                </c:pt>
                <c:pt idx="3">
                  <c:v>14.15</c:v>
                </c:pt>
                <c:pt idx="4">
                  <c:v>12.96</c:v>
                </c:pt>
                <c:pt idx="5">
                  <c:v>13.4</c:v>
                </c:pt>
                <c:pt idx="6">
                  <c:v>14.48</c:v>
                </c:pt>
                <c:pt idx="7">
                  <c:v>15.27</c:v>
                </c:pt>
                <c:pt idx="8">
                  <c:v>15.9</c:v>
                </c:pt>
                <c:pt idx="9">
                  <c:v>16.6</c:v>
                </c:pt>
                <c:pt idx="10">
                  <c:v>17.7</c:v>
                </c:pt>
                <c:pt idx="11">
                  <c:v>18.39</c:v>
                </c:pt>
              </c:numCache>
            </c:numRef>
          </c:val>
        </c:ser>
        <c:ser>
          <c:idx val="3"/>
          <c:order val="3"/>
          <c:tx>
            <c:strRef>
              <c:f>应用!$A$5</c:f>
              <c:strCache>
                <c:ptCount val="1"/>
                <c:pt idx="0">
                  <c:v/>
                </c:pt>
              </c:strCache>
            </c:strRef>
          </c:tx>
          <c:spPr>
            <a:solidFill>
              <a:schemeClr val="tx2">
                <a:lumMod val="60000"/>
                <a:lumOff val="4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应用!$B$1:$M$1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应用!$B$5:$M$5</c:f>
            </c:numRef>
          </c:val>
        </c:ser>
        <c:ser>
          <c:idx val="4"/>
          <c:order val="4"/>
          <c:tx>
            <c:strRef>
              <c:f>应用!$A$6</c:f>
              <c:strCache>
                <c:ptCount val="1"/>
                <c:pt idx="0">
                  <c:v/>
                </c:pt>
              </c:strCache>
            </c:strRef>
          </c:tx>
          <c:spPr>
            <a:solidFill>
              <a:schemeClr val="accent1">
                <a:lumMod val="75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应用!$B$1:$M$1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应用!$B$6:$M$6</c:f>
            </c:numRef>
          </c:val>
        </c:ser>
        <c:ser>
          <c:idx val="5"/>
          <c:order val="5"/>
          <c:tx>
            <c:strRef>
              <c:f>应用!$A$7</c:f>
              <c:strCache>
                <c:ptCount val="1"/>
                <c:pt idx="0">
                  <c:v/>
                </c:pt>
              </c:strCache>
            </c:strRef>
          </c:tx>
          <c:spPr>
            <a:solidFill>
              <a:schemeClr val="accent4">
                <a:lumMod val="60000"/>
                <a:lumOff val="4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应用!$B$1:$M$1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应用!$B$7:$M$7</c:f>
            </c:numRef>
          </c:val>
        </c:ser>
        <c:ser>
          <c:idx val="6"/>
          <c:order val="6"/>
          <c:tx>
            <c:strRef>
              <c:f>应用!$A$8</c:f>
              <c:strCache>
                <c:ptCount val="1"/>
                <c:pt idx="0">
                  <c:v/>
                </c:pt>
              </c:strCache>
            </c:strRef>
          </c:tx>
          <c:spPr>
            <a:solidFill>
              <a:schemeClr val="accent2">
                <a:lumMod val="60000"/>
                <a:lumOff val="4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应用!$B$1:$M$1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应用!$B$8:$M$8</c:f>
            </c:numRef>
          </c:val>
        </c:ser>
        <c:ser>
          <c:idx val="7"/>
          <c:order val="7"/>
          <c:tx>
            <c:strRef>
              <c:f>应用!$A$9</c:f>
              <c:strCache>
                <c:ptCount val="1"/>
                <c:pt idx="0">
                  <c:v/>
                </c:pt>
              </c:strCache>
            </c:strRef>
          </c:tx>
          <c:spPr>
            <a:solidFill>
              <a:schemeClr val="bg2">
                <a:lumMod val="5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应用!$B$1:$M$1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应用!$B$9:$M$9</c:f>
            </c:numRef>
          </c:val>
        </c:ser>
        <c:ser>
          <c:idx val="8"/>
          <c:order val="8"/>
          <c:tx>
            <c:strRef>
              <c:f>应用!$A$10</c:f>
              <c:strCache>
                <c:ptCount val="1"/>
                <c:pt idx="0">
                  <c:v/>
                </c:pt>
              </c:strCache>
            </c:strRef>
          </c:tx>
          <c:spPr>
            <a:solidFill>
              <a:schemeClr val="accent5">
                <a:lumMod val="60000"/>
                <a:lumOff val="4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应用!$B$1:$M$1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应用!$B$10:$M$10</c:f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5"/>
        <c:overlap val="100"/>
        <c:axId val="2101581920"/>
        <c:axId val="2101559456"/>
      </c:barChart>
      <c:lineChart>
        <c:grouping val="stacked"/>
        <c:varyColors val="0"/>
        <c:ser>
          <c:idx val="9"/>
          <c:order val="9"/>
          <c:tx>
            <c:strRef>
              <c:f>应用!$A$11</c:f>
              <c:strCache>
                <c:ptCount val="1"/>
                <c:pt idx="0">
                  <c:v>Total</c:v>
                </c:pt>
              </c:strCache>
            </c:strRef>
          </c:tx>
          <c:spPr>
            <a:ln w="28575" cap="rnd">
              <a:solidFill>
                <a:srgbClr val="002060"/>
              </a:solidFill>
              <a:round/>
            </a:ln>
            <a:effectLst/>
          </c:spPr>
          <c:marker>
            <c:symbol val="diamond"/>
            <c:size val="8"/>
            <c:spPr>
              <a:solidFill>
                <a:srgbClr val="FFC000"/>
              </a:solidFill>
              <a:ln w="9525">
                <a:solidFill>
                  <a:schemeClr val="accent4">
                    <a:lumMod val="60000"/>
                  </a:schemeClr>
                </a:solidFill>
              </a:ln>
              <a:effectLst/>
            </c:spPr>
          </c:marker>
          <c:dLbls>
            <c:delete val="1"/>
          </c:dLbls>
          <c:cat>
            <c:numRef>
              <c:f>应用!$B$1:$M$1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应用!$B$11:$M$11</c:f>
              <c:numCache>
                <c:formatCode>#,##0_);[Red]\(#,##0\)</c:formatCode>
                <c:ptCount val="12"/>
                <c:pt idx="0">
                  <c:v>239.92</c:v>
                </c:pt>
                <c:pt idx="1">
                  <c:v>222.52</c:v>
                </c:pt>
                <c:pt idx="2">
                  <c:v>253.54</c:v>
                </c:pt>
                <c:pt idx="3">
                  <c:v>270.62</c:v>
                </c:pt>
                <c:pt idx="4">
                  <c:v>250.78</c:v>
                </c:pt>
                <c:pt idx="5">
                  <c:v>261.17</c:v>
                </c:pt>
                <c:pt idx="6">
                  <c:v>280.95</c:v>
                </c:pt>
                <c:pt idx="7">
                  <c:v>297.08</c:v>
                </c:pt>
                <c:pt idx="8">
                  <c:v>313.53</c:v>
                </c:pt>
                <c:pt idx="9">
                  <c:v>328.44</c:v>
                </c:pt>
                <c:pt idx="10">
                  <c:v>351.88</c:v>
                </c:pt>
                <c:pt idx="11">
                  <c:v>369.9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2101602720"/>
        <c:axId val="2101608960"/>
      </c:lineChart>
      <c:catAx>
        <c:axId val="210158192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2101559456"/>
        <c:crosses val="autoZero"/>
        <c:auto val="1"/>
        <c:lblAlgn val="ctr"/>
        <c:lblOffset val="100"/>
        <c:noMultiLvlLbl val="0"/>
      </c:catAx>
      <c:valAx>
        <c:axId val="2101559456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_);[Red]\(#,##0\)" sourceLinked="0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+mn-ea"/>
                <a:cs typeface="Times New Roman" panose="02020603050405020304" charset="0"/>
              </a:defRPr>
            </a:pPr>
          </a:p>
        </c:txPr>
        <c:crossAx val="2101581920"/>
        <c:crosses val="autoZero"/>
        <c:crossBetween val="between"/>
      </c:valAx>
      <c:catAx>
        <c:axId val="2101602720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2101608960"/>
        <c:crosses val="autoZero"/>
        <c:auto val="1"/>
        <c:lblAlgn val="ctr"/>
        <c:lblOffset val="100"/>
        <c:noMultiLvlLbl val="0"/>
      </c:catAx>
      <c:valAx>
        <c:axId val="2101608960"/>
        <c:scaling>
          <c:orientation val="minMax"/>
        </c:scaling>
        <c:delete val="0"/>
        <c:axPos val="r"/>
        <c:numFmt formatCode="0.0%" sourceLinked="0"/>
        <c:majorTickMark val="out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+mn-ea"/>
                <a:cs typeface="Times New Roman" panose="02020603050405020304" charset="0"/>
              </a:defRPr>
            </a:pPr>
          </a:p>
        </c:txPr>
        <c:crossAx val="2101602720"/>
        <c:crosses val="max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0695485312899106"/>
          <c:y val="0.865502222222222"/>
          <c:w val="0.860902937420179"/>
          <c:h val="0.113331111111111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zh-CN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charset="0"/>
              <a:ea typeface="+mn-ea"/>
              <a:cs typeface="Times New Roman" panose="02020603050405020304" charset="0"/>
            </a:defRPr>
          </a:pPr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percentStacked"/>
        <c:varyColors val="0"/>
        <c:ser>
          <c:idx val="0"/>
          <c:order val="0"/>
          <c:tx>
            <c:strRef>
              <c:f>'地区-消费'!$A$2</c:f>
              <c:strCache>
                <c:ptCount val="1"/>
                <c:pt idx="0">
                  <c:v>North America</c:v>
                </c:pt>
              </c:strCache>
            </c:strRef>
          </c:tx>
          <c:spPr>
            <a:solidFill>
              <a:srgbClr val="002060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'地区-消费'!$B$1:$M$1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'地区-消费'!$B$2:$M$2</c:f>
              <c:numCache>
                <c:formatCode>#,##0.00_);[Red]\(#,##0.00\)</c:formatCode>
                <c:ptCount val="12"/>
                <c:pt idx="0">
                  <c:v>62.73</c:v>
                </c:pt>
                <c:pt idx="1">
                  <c:v>59.15</c:v>
                </c:pt>
                <c:pt idx="2">
                  <c:v>67.11</c:v>
                </c:pt>
                <c:pt idx="3">
                  <c:v>71.56</c:v>
                </c:pt>
                <c:pt idx="4">
                  <c:v>66.84</c:v>
                </c:pt>
                <c:pt idx="5">
                  <c:v>69.1799999999999</c:v>
                </c:pt>
                <c:pt idx="6">
                  <c:v>73.99</c:v>
                </c:pt>
                <c:pt idx="7">
                  <c:v>77.31</c:v>
                </c:pt>
                <c:pt idx="8">
                  <c:v>81.91</c:v>
                </c:pt>
                <c:pt idx="9">
                  <c:v>85.44</c:v>
                </c:pt>
                <c:pt idx="10">
                  <c:v>90.75</c:v>
                </c:pt>
                <c:pt idx="11">
                  <c:v>95.73</c:v>
                </c:pt>
              </c:numCache>
            </c:numRef>
          </c:val>
        </c:ser>
        <c:ser>
          <c:idx val="1"/>
          <c:order val="1"/>
          <c:tx>
            <c:strRef>
              <c:f>'地区-消费'!$A$3</c:f>
              <c:strCache>
                <c:ptCount val="1"/>
                <c:pt idx="0">
                  <c:v>China</c:v>
                </c:pt>
              </c:strCache>
            </c:strRef>
          </c:tx>
          <c:spPr>
            <a:solidFill>
              <a:schemeClr val="bg1">
                <a:lumMod val="5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'地区-消费'!$B$1:$M$1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'地区-消费'!$B$3:$M$3</c:f>
              <c:numCache>
                <c:formatCode>#,##0.00_);[Red]\(#,##0.00\)</c:formatCode>
                <c:ptCount val="12"/>
                <c:pt idx="0">
                  <c:v>62.58</c:v>
                </c:pt>
                <c:pt idx="1">
                  <c:v>59.76</c:v>
                </c:pt>
                <c:pt idx="2">
                  <c:v>69.72</c:v>
                </c:pt>
                <c:pt idx="3">
                  <c:v>74.73</c:v>
                </c:pt>
                <c:pt idx="4">
                  <c:v>69.76</c:v>
                </c:pt>
                <c:pt idx="5">
                  <c:v>74.07</c:v>
                </c:pt>
                <c:pt idx="6">
                  <c:v>80.73</c:v>
                </c:pt>
                <c:pt idx="7">
                  <c:v>86.55</c:v>
                </c:pt>
                <c:pt idx="8">
                  <c:v>93.09</c:v>
                </c:pt>
                <c:pt idx="9">
                  <c:v>98.52</c:v>
                </c:pt>
                <c:pt idx="10">
                  <c:v>107.49</c:v>
                </c:pt>
                <c:pt idx="11">
                  <c:v>114.86</c:v>
                </c:pt>
              </c:numCache>
            </c:numRef>
          </c:val>
        </c:ser>
        <c:ser>
          <c:idx val="2"/>
          <c:order val="2"/>
          <c:tx>
            <c:strRef>
              <c:f>'地区-消费'!$A$4</c:f>
              <c:strCache>
                <c:ptCount val="1"/>
                <c:pt idx="0">
                  <c:v>Europe</c:v>
                </c:pt>
              </c:strCache>
            </c:strRef>
          </c:tx>
          <c:spPr>
            <a:solidFill>
              <a:srgbClr val="0070C0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'地区-消费'!$B$1:$M$1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'地区-消费'!$B$4:$M$4</c:f>
              <c:numCache>
                <c:formatCode>#,##0.00_);[Red]\(#,##0.00\)</c:formatCode>
                <c:ptCount val="12"/>
                <c:pt idx="0">
                  <c:v>70.66</c:v>
                </c:pt>
                <c:pt idx="1">
                  <c:v>65.23</c:v>
                </c:pt>
                <c:pt idx="2">
                  <c:v>73.48</c:v>
                </c:pt>
                <c:pt idx="3">
                  <c:v>77.97</c:v>
                </c:pt>
                <c:pt idx="4">
                  <c:v>71.59</c:v>
                </c:pt>
                <c:pt idx="5">
                  <c:v>73.93</c:v>
                </c:pt>
                <c:pt idx="6">
                  <c:v>79.73</c:v>
                </c:pt>
                <c:pt idx="7">
                  <c:v>84.61</c:v>
                </c:pt>
                <c:pt idx="8">
                  <c:v>87.91</c:v>
                </c:pt>
                <c:pt idx="9">
                  <c:v>91.94</c:v>
                </c:pt>
                <c:pt idx="10">
                  <c:v>97.89</c:v>
                </c:pt>
                <c:pt idx="11">
                  <c:v>101.57</c:v>
                </c:pt>
              </c:numCache>
            </c:numRef>
          </c:val>
        </c:ser>
        <c:ser>
          <c:idx val="3"/>
          <c:order val="3"/>
          <c:tx>
            <c:strRef>
              <c:f>'地区-消费'!$A$5</c:f>
              <c:strCache>
                <c:ptCount val="1"/>
                <c:pt idx="0">
                  <c:v>Japan</c:v>
                </c:pt>
              </c:strCache>
            </c:strRef>
          </c:tx>
          <c:spPr>
            <a:solidFill>
              <a:srgbClr val="FFC000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'地区-消费'!$B$1:$M$1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'地区-消费'!$B$5:$M$5</c:f>
              <c:numCache>
                <c:formatCode>#,##0.00_);[Red]\(#,##0.00\)</c:formatCode>
                <c:ptCount val="12"/>
                <c:pt idx="0">
                  <c:v>12.64</c:v>
                </c:pt>
                <c:pt idx="1">
                  <c:v>11.39</c:v>
                </c:pt>
                <c:pt idx="2">
                  <c:v>12.89</c:v>
                </c:pt>
                <c:pt idx="3">
                  <c:v>13.71</c:v>
                </c:pt>
                <c:pt idx="4">
                  <c:v>12.5</c:v>
                </c:pt>
                <c:pt idx="5">
                  <c:v>13.03</c:v>
                </c:pt>
                <c:pt idx="6">
                  <c:v>13.81</c:v>
                </c:pt>
                <c:pt idx="7">
                  <c:v>14.29</c:v>
                </c:pt>
                <c:pt idx="8">
                  <c:v>14.97</c:v>
                </c:pt>
                <c:pt idx="9">
                  <c:v>15.74</c:v>
                </c:pt>
                <c:pt idx="10">
                  <c:v>16.88</c:v>
                </c:pt>
                <c:pt idx="11">
                  <c:v>17.3</c:v>
                </c:pt>
              </c:numCache>
            </c:numRef>
          </c:val>
        </c:ser>
        <c:ser>
          <c:idx val="4"/>
          <c:order val="4"/>
          <c:tx>
            <c:strRef>
              <c:f>'地区-消费'!$A$6</c:f>
              <c:strCache>
                <c:ptCount val="1"/>
                <c:pt idx="0">
                  <c:v>Southeast Asia</c:v>
                </c:pt>
              </c:strCache>
            </c:strRef>
          </c:tx>
          <c:spPr>
            <a:solidFill>
              <a:schemeClr val="tx1">
                <a:lumMod val="65000"/>
                <a:lumOff val="35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'地区-消费'!$B$1:$M$1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'地区-消费'!$B$6:$M$6</c:f>
              <c:numCache>
                <c:formatCode>#,##0.00_);[Red]\(#,##0.00\)</c:formatCode>
                <c:ptCount val="12"/>
                <c:pt idx="0">
                  <c:v>14.57</c:v>
                </c:pt>
                <c:pt idx="1">
                  <c:v>13.27</c:v>
                </c:pt>
                <c:pt idx="2">
                  <c:v>14.72</c:v>
                </c:pt>
                <c:pt idx="3">
                  <c:v>15.77</c:v>
                </c:pt>
                <c:pt idx="4">
                  <c:v>14.31</c:v>
                </c:pt>
                <c:pt idx="5">
                  <c:v>14.79</c:v>
                </c:pt>
                <c:pt idx="6">
                  <c:v>15.54</c:v>
                </c:pt>
                <c:pt idx="7">
                  <c:v>16.24</c:v>
                </c:pt>
                <c:pt idx="8">
                  <c:v>17.09</c:v>
                </c:pt>
                <c:pt idx="9">
                  <c:v>17.68</c:v>
                </c:pt>
                <c:pt idx="10">
                  <c:v>18.78</c:v>
                </c:pt>
                <c:pt idx="11">
                  <c:v>19.77</c:v>
                </c:pt>
              </c:numCache>
            </c:numRef>
          </c:val>
        </c:ser>
        <c:ser>
          <c:idx val="5"/>
          <c:order val="5"/>
          <c:tx>
            <c:strRef>
              <c:f>'地区-消费'!$A$7</c:f>
              <c:strCache>
                <c:ptCount val="1"/>
                <c:pt idx="0">
                  <c:v>India</c:v>
                </c:pt>
              </c:strCache>
            </c:strRef>
          </c:tx>
          <c:spPr>
            <a:solidFill>
              <a:srgbClr val="C00000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'地区-消费'!$B$1:$M$1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'地区-消费'!$B$7:$M$7</c:f>
              <c:numCache>
                <c:formatCode>#,##0.00_);[Red]\(#,##0.00\)</c:formatCode>
                <c:ptCount val="12"/>
                <c:pt idx="0">
                  <c:v>7.11</c:v>
                </c:pt>
                <c:pt idx="1">
                  <c:v>6.41</c:v>
                </c:pt>
                <c:pt idx="2">
                  <c:v>7.29</c:v>
                </c:pt>
                <c:pt idx="3">
                  <c:v>7.73</c:v>
                </c:pt>
                <c:pt idx="4">
                  <c:v>7.37</c:v>
                </c:pt>
                <c:pt idx="5">
                  <c:v>7.53</c:v>
                </c:pt>
                <c:pt idx="6">
                  <c:v>8.11</c:v>
                </c:pt>
                <c:pt idx="7">
                  <c:v>8.54</c:v>
                </c:pt>
                <c:pt idx="8">
                  <c:v>8.92</c:v>
                </c:pt>
                <c:pt idx="9">
                  <c:v>9.31</c:v>
                </c:pt>
                <c:pt idx="10">
                  <c:v>9.9</c:v>
                </c:pt>
                <c:pt idx="11">
                  <c:v>10.31</c:v>
                </c:pt>
              </c:numCache>
            </c:numRef>
          </c:val>
        </c:ser>
        <c:ser>
          <c:idx val="6"/>
          <c:order val="6"/>
          <c:tx>
            <c:strRef>
              <c:f>'地区-消费'!$A$8</c:f>
              <c:strCache>
                <c:ptCount val="1"/>
                <c:pt idx="0">
                  <c:v>Others</c:v>
                </c:pt>
              </c:strCache>
            </c:strRef>
          </c:tx>
          <c:spPr>
            <a:solidFill>
              <a:srgbClr val="7030A0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'地区-消费'!$B$1:$M$1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'地区-消费'!$B$8:$M$8</c:f>
              <c:numCache>
                <c:formatCode>#,##0.00_);[Red]\(#,##0.00\)</c:formatCode>
                <c:ptCount val="12"/>
                <c:pt idx="0">
                  <c:v>9.63</c:v>
                </c:pt>
                <c:pt idx="1">
                  <c:v>7.31</c:v>
                </c:pt>
                <c:pt idx="2">
                  <c:v>8.33</c:v>
                </c:pt>
                <c:pt idx="3">
                  <c:v>9.15</c:v>
                </c:pt>
                <c:pt idx="4">
                  <c:v>8.41</c:v>
                </c:pt>
                <c:pt idx="5">
                  <c:v>8.64</c:v>
                </c:pt>
                <c:pt idx="6">
                  <c:v>9.04</c:v>
                </c:pt>
                <c:pt idx="7">
                  <c:v>9.54</c:v>
                </c:pt>
                <c:pt idx="8">
                  <c:v>9.64</c:v>
                </c:pt>
                <c:pt idx="9">
                  <c:v>9.81</c:v>
                </c:pt>
                <c:pt idx="10">
                  <c:v>10.19</c:v>
                </c:pt>
                <c:pt idx="11">
                  <c:v>10.36</c:v>
                </c:pt>
              </c:numCache>
            </c:numRef>
          </c:val>
        </c:ser>
        <c:ser>
          <c:idx val="7"/>
          <c:order val="7"/>
          <c:tx>
            <c:strRef>
              <c:f>'地区-消费'!$A$9</c:f>
              <c:strCache>
                <c:ptCount val="1"/>
                <c:pt idx="0">
                  <c:v/>
                </c:pt>
              </c:strCache>
            </c:strRef>
          </c:tx>
          <c:spPr>
            <a:solidFill>
              <a:schemeClr val="tx2">
                <a:lumMod val="60000"/>
                <a:lumOff val="4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'地区-消费'!$B$1:$M$1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'地区-消费'!$B$9:$M$9</c:f>
            </c:numRef>
          </c:val>
        </c:ser>
        <c:ser>
          <c:idx val="8"/>
          <c:order val="8"/>
          <c:tx>
            <c:strRef>
              <c:f>'地区-消费'!$A$10</c:f>
              <c:strCache>
                <c:ptCount val="1"/>
                <c:pt idx="0">
                  <c:v/>
                </c:pt>
              </c:strCache>
            </c:strRef>
          </c:tx>
          <c:spPr>
            <a:solidFill>
              <a:schemeClr val="accent6">
                <a:lumMod val="75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'地区-消费'!$B$1:$M$1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'地区-消费'!$B$10:$M$10</c:f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45"/>
        <c:overlap val="100"/>
        <c:axId val="1897692240"/>
        <c:axId val="1897707216"/>
      </c:barChart>
      <c:catAx>
        <c:axId val="189769224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+mn-ea"/>
                <a:cs typeface="Times New Roman" panose="02020603050405020304" charset="0"/>
              </a:defRPr>
            </a:pPr>
          </a:p>
        </c:txPr>
        <c:crossAx val="1897707216"/>
        <c:crosses val="autoZero"/>
        <c:auto val="1"/>
        <c:lblAlgn val="ctr"/>
        <c:lblOffset val="100"/>
        <c:noMultiLvlLbl val="0"/>
      </c:catAx>
      <c:valAx>
        <c:axId val="1897707216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0%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+mn-ea"/>
                <a:cs typeface="Times New Roman" panose="02020603050405020304" charset="0"/>
              </a:defRPr>
            </a:pPr>
          </a:p>
        </c:txPr>
        <c:crossAx val="189769224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zh-CN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charset="0"/>
              <a:ea typeface="+mn-ea"/>
              <a:cs typeface="Times New Roman" panose="02020603050405020304" charset="0"/>
            </a:defRPr>
          </a:pPr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5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0.60793</cdr:x>
      <cdr:y>0.27494</cdr:y>
    </cdr:from>
    <cdr:to>
      <cdr:x>0.7304</cdr:x>
      <cdr:y>0.38082</cdr:y>
    </cdr:to>
    <cdr:sp>
      <cdr:nvSpPr>
        <cdr:cNvPr id="2" name="椭圆 1"/>
        <cdr:cNvSpPr/>
      </cdr:nvSpPr>
      <cdr:spPr xmlns:a="http://schemas.openxmlformats.org/drawingml/2006/main">
        <a:xfrm xmlns:a="http://schemas.openxmlformats.org/drawingml/2006/main" rot="21480000">
          <a:off x="3895614" y="841307"/>
          <a:ext cx="784800" cy="324000"/>
        </a:xfrm>
        <a:prstGeom xmlns:a="http://schemas.openxmlformats.org/drawingml/2006/main" prst="ellipse">
          <a:avLst/>
        </a:prstGeom>
        <a:solidFill>
          <a:srgbClr val="FFC000"/>
        </a:solidFill>
        <a:ln w="12700">
          <a:noFill/>
        </a:ln>
      </cdr:spPr>
      <cdr:style>
        <a:lnRef xmlns:a="http://schemas.openxmlformats.org/drawingml/2006/main" idx="2">
          <a:schemeClr val="accent1">
            <a:shade val="15000"/>
          </a:schemeClr>
        </a:lnRef>
        <a:fillRef xmlns:a="http://schemas.openxmlformats.org/drawingml/2006/main" idx="1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lt1"/>
        </a:fontRef>
      </cdr:style>
      <cdr:txBody xmlns:a="http://schemas.openxmlformats.org/drawingml/2006/main">
        <a:bodyPr vertOverflow="clip" vert="horz" wrap="none" lIns="45720" tIns="45720" rIns="45720" bIns="45720" anchor="ctr" anchorCtr="0">
          <a:normAutofit/>
        </a:bodyPr>
        <a:lstStyle/>
        <a:p>
          <a:pPr algn="ctr"/>
          <a:endParaRPr lang="zh-CN" sz="800" baseline="0">
            <a:solidFill>
              <a:srgbClr val="002060"/>
            </a:solidFill>
            <a:latin typeface="Times New Roman" panose="02020603050405020304" charset="0"/>
            <a:ea typeface="宋体" panose="02010600030101010101" charset="-122"/>
            <a:cs typeface="Times New Roman" panose="02020603050405020304" charset="0"/>
          </a:endParaRPr>
        </a:p>
      </cdr:txBody>
    </cdr:sp>
  </cdr:relSizeAnchor>
  <cdr:relSizeAnchor xmlns:cdr="http://schemas.openxmlformats.org/drawingml/2006/chartDrawing">
    <cdr:from>
      <cdr:x>0.27574</cdr:x>
      <cdr:y>0.47252</cdr:y>
    </cdr:from>
    <cdr:to>
      <cdr:x>0.39821</cdr:x>
      <cdr:y>0.57891</cdr:y>
    </cdr:to>
    <cdr:sp>
      <cdr:nvSpPr>
        <cdr:cNvPr id="3" name="椭圆 2"/>
        <cdr:cNvSpPr/>
      </cdr:nvSpPr>
      <cdr:spPr xmlns:a="http://schemas.openxmlformats.org/drawingml/2006/main">
        <a:xfrm xmlns:a="http://schemas.openxmlformats.org/drawingml/2006/main" rot="21480000">
          <a:off x="1766911" y="1445911"/>
          <a:ext cx="784824" cy="325542"/>
        </a:xfrm>
        <a:prstGeom xmlns:a="http://schemas.openxmlformats.org/drawingml/2006/main" prst="ellipse">
          <a:avLst/>
        </a:prstGeom>
        <a:solidFill>
          <a:srgbClr val="FFC000"/>
        </a:solidFill>
        <a:ln>
          <a:noFill/>
        </a:ln>
      </cdr:spPr>
      <cdr:style>
        <a:lnRef xmlns:a="http://schemas.openxmlformats.org/drawingml/2006/main" idx="2">
          <a:schemeClr val="accent1">
            <a:shade val="15000"/>
          </a:schemeClr>
        </a:lnRef>
        <a:fillRef xmlns:a="http://schemas.openxmlformats.org/drawingml/2006/main" idx="1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lt1"/>
        </a:fontRef>
      </cdr:style>
      <cdr:txBody xmlns:a="http://schemas.openxmlformats.org/drawingml/2006/main">
        <a:bodyPr vertOverflow="clip" vert="horz" wrap="none" lIns="45720" tIns="45720" rIns="45720" bIns="45720" anchor="ctr" anchorCtr="0">
          <a:normAutofit/>
        </a:bodyPr>
        <a:lstStyle/>
        <a:p>
          <a:pPr algn="ctr"/>
          <a:endParaRPr lang="zh-CN" sz="900" baseline="0">
            <a:solidFill>
              <a:srgbClr val="002060"/>
            </a:solidFill>
            <a:latin typeface="Times New Roman" panose="02020603050405020304" charset="0"/>
            <a:ea typeface="宋体" panose="02010600030101010101" charset="-122"/>
            <a:cs typeface="Times New Roman" panose="02020603050405020304" charset="0"/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1032"/>
    <customShpInfo spid="_x0000_s103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F19C77F-A8DE-416F-A2F8-FE3DCC1B32E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266</Words>
  <Characters>1517</Characters>
  <Lines>12</Lines>
  <Paragraphs>3</Paragraphs>
  <TotalTime>680</TotalTime>
  <ScaleCrop>false</ScaleCrop>
  <LinksUpToDate>false</LinksUpToDate>
  <CharactersWithSpaces>1780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2021-11-11T07:47:00Z</dcterms:created>
  <dc:creator>yangj</dc:creator>
  <cp:lastModifiedBy>Administrator</cp:lastModifiedBy>
  <dcterms:modified xsi:type="dcterms:W3CDTF">2024-08-06T06:55:48Z</dcterms:modified>
  <cp:revision>885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A4ABE943EB0A4B80A19E2C556C13F807_13</vt:lpwstr>
  </property>
</Properties>
</file>