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_Toc438987549"/>
      <w:bookmarkStart w:id="2" w:name="_Toc517262917"/>
      <w:bookmarkStart w:id="3" w:name="_Toc481801204"/>
      <w:bookmarkStart w:id="4" w:name="OLE_LINK15"/>
      <w:bookmarkStart w:id="5" w:name="_Toc418070112"/>
      <w:bookmarkStart w:id="6" w:name="_Toc415143481"/>
      <w:bookmarkStart w:id="7" w:name="OLE_LINK13"/>
      <w:bookmarkStart w:id="8" w:name="_Toc415142861"/>
      <w:bookmarkStart w:id="9" w:name="_Toc415818939"/>
      <w:bookmarkStart w:id="10" w:name="OLE_LINK40"/>
      <w:bookmarkStart w:id="11" w:name="OLE_LINK24"/>
      <w:bookmarkStart w:id="12" w:name="OLE_LINK39"/>
      <w:r>
        <w:rPr>
          <w:lang w:eastAsia="zh-CN"/>
        </w:rPr>
        <w:t>无纸化图表记录仪</w:t>
      </w:r>
      <w:r>
        <w:rPr>
          <w:rFonts w:hint="eastAsia"/>
          <w:lang w:eastAsia="zh-CN"/>
        </w:rPr>
        <w:t>欧洲地区市场总体规模</w:t>
      </w:r>
    </w:p>
    <w:p w14:paraId="5818D4DD">
      <w:pPr>
        <w:pStyle w:val="145"/>
        <w:rPr>
          <w:lang w:eastAsia="zh-CN"/>
        </w:rPr>
      </w:pPr>
      <w:r>
        <w:rPr>
          <w:rFonts w:hint="eastAsia"/>
          <w:lang w:eastAsia="zh-CN"/>
        </w:rPr>
        <w:t>无纸图表记录仪是一种数字设备，用于实时监控、记录和显示各种参数，无需使用物理图表纸。与依赖纸质图表记录数据的传统图表记录仪不同，无纸图表记录仪利用数字技术以电子方式捕获、存储和可视化数据。这些设备通常具有数字显示屏以显示实时数据，并提供各种输入通道以连接测量参数（例如温度、压力、湿度、流速或其他变量）的传感器。无纸图表记录仪以数字格式记录数据，这些数据可以内部或外部存储在存储卡、USB 驱动器或网络服务器中，以供进一步分析和报告。它们通常包括数据记录、警报通知、数据导出功能和可自定义的显示选项等高级功能。无纸图表记录仪广泛应用于制造业、制药业、食品和饮料业、环境监测和研究实验室等行业，在这些行业中，准确可靠的数据记录对于流程监控、质量控制、合规性和故障排除至关重要。与传统的纸质图表记录仪相比，它们具有准确性、效率和数据可访问性提高等优势，使其成为现代工业和科学应用不可或缺的工具。</w:t>
      </w:r>
    </w:p>
    <w:p w14:paraId="02F5BF3B">
      <w:pPr>
        <w:pStyle w:val="148"/>
        <w:pBdr>
          <w:bottom w:val="none" w:color="auto" w:sz="0" w:space="0"/>
        </w:pBdr>
        <w:spacing w:after="160" w:line="259" w:lineRule="auto"/>
        <w:ind w:left="0" w:firstLine="0"/>
        <w:jc w:val="both"/>
        <w:rPr>
          <w:lang w:eastAsia="zh-CN"/>
        </w:rPr>
      </w:pPr>
      <w:bookmarkStart w:id="13" w:name="_Toc24028878"/>
      <w:bookmarkStart w:id="14" w:name="_Toc153725300"/>
      <w:bookmarkStart w:id="15" w:name="_Toc26779984"/>
      <w:bookmarkStart w:id="16" w:name="_Toc153726125"/>
      <w:r>
        <w:rPr>
          <w:rFonts w:hint="eastAsia" w:ascii="宋体" w:hAnsi="宋体"/>
          <w:szCs w:val="24"/>
          <w:lang w:eastAsia="zh-CN"/>
        </w:rPr>
        <w:t>无纸化图表记录仪</w:t>
      </w:r>
      <w:r>
        <w:rPr>
          <w:rFonts w:hint="eastAsia"/>
          <w:lang w:eastAsia="zh-CN"/>
        </w:rPr>
        <w:t>产品图片</w:t>
      </w:r>
      <w:bookmarkEnd w:id="13"/>
      <w:bookmarkEnd w:id="14"/>
      <w:bookmarkEnd w:id="15"/>
      <w:bookmarkEnd w:id="16"/>
    </w:p>
    <w:p w14:paraId="36194841">
      <w:pPr>
        <w:pStyle w:val="145"/>
        <w:rPr>
          <w:lang w:eastAsia="zh-CN"/>
        </w:rPr>
      </w:pPr>
      <w:r>
        <w:drawing>
          <wp:inline distT="0" distB="0" distL="0" distR="0">
            <wp:extent cx="4095750" cy="2276475"/>
            <wp:effectExtent l="0" t="0" r="0" b="0"/>
            <wp:docPr id="312394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394182" name="图片 1"/>
                    <pic:cNvPicPr>
                      <a:picLocks noChangeAspect="1"/>
                    </pic:cNvPicPr>
                  </pic:nvPicPr>
                  <pic:blipFill>
                    <a:blip r:embed="rId9"/>
                    <a:stretch>
                      <a:fillRect/>
                    </a:stretch>
                  </pic:blipFill>
                  <pic:spPr>
                    <a:xfrm>
                      <a:off x="0" y="0"/>
                      <a:ext cx="4102448" cy="2279885"/>
                    </a:xfrm>
                    <a:prstGeom prst="rect">
                      <a:avLst/>
                    </a:prstGeom>
                  </pic:spPr>
                </pic:pic>
              </a:graphicData>
            </a:graphic>
          </wp:inline>
        </w:drawing>
      </w:r>
    </w:p>
    <w:p w14:paraId="540763B8">
      <w:pPr>
        <w:pStyle w:val="143"/>
        <w:rPr>
          <w:lang w:eastAsia="zh-CN"/>
        </w:rPr>
      </w:pPr>
      <w:r>
        <w:rPr>
          <w:lang w:eastAsia="zh-CN"/>
        </w:rPr>
        <w:t>资料来源：第三方资料及QYResearch整理研究，202</w:t>
      </w:r>
      <w:r>
        <w:rPr>
          <w:rFonts w:hint="eastAsia"/>
          <w:lang w:eastAsia="zh-CN"/>
        </w:rPr>
        <w:t>5</w:t>
      </w:r>
      <w:r>
        <w:rPr>
          <w:lang w:eastAsia="zh-CN"/>
        </w:rPr>
        <w:t>年</w:t>
      </w:r>
    </w:p>
    <w:p w14:paraId="6D407957">
      <w:pPr>
        <w:pStyle w:val="145"/>
        <w:rPr>
          <w:lang w:eastAsia="zh-CN"/>
        </w:rPr>
      </w:pPr>
      <w:r>
        <w:rPr>
          <w:rFonts w:hint="eastAsia"/>
          <w:lang w:eastAsia="zh-CN"/>
        </w:rPr>
        <w:t>欧洲无纸化图表记录仪市场目前正在稳步增长，这得益于该地区高度重视制药、食品加工、化学品和制造业等行业的监管合规性、可持续性和数字化转型。德国、英国、法国和意大利等欧洲国家正在引领市场，因为这些地区的行业越来越需要先进的数据记录系统来进行实时监控、质量控制和可追溯性。从传统的纸质图表记录仪向无纸系统的转变也受到减少纸张消耗和提高数据准确性和可访问性的需求的推动。</w:t>
      </w:r>
    </w:p>
    <w:p w14:paraId="4D38E3C6">
      <w:pPr>
        <w:pStyle w:val="145"/>
        <w:rPr>
          <w:lang w:eastAsia="zh-CN"/>
        </w:rPr>
      </w:pPr>
      <w:r>
        <w:rPr>
          <w:rFonts w:hint="eastAsia"/>
          <w:lang w:eastAsia="zh-CN"/>
        </w:rPr>
        <w:t>QYResearch调研显示，2024年欧洲地区无纸化图表记录仪市场规模为1.85亿美元，预计到2031年将达到</w:t>
      </w:r>
      <w:r>
        <w:rPr>
          <w:lang w:eastAsia="zh-CN"/>
        </w:rPr>
        <w:t>2</w:t>
      </w:r>
      <w:r>
        <w:rPr>
          <w:rFonts w:hint="eastAsia"/>
          <w:lang w:eastAsia="zh-CN"/>
        </w:rPr>
        <w:t>.49亿美元，2025-2031年预测期内的复合年增长率为</w:t>
      </w:r>
      <w:r>
        <w:rPr>
          <w:lang w:eastAsia="zh-CN"/>
        </w:rPr>
        <w:t>4.64%</w:t>
      </w:r>
      <w:r>
        <w:rPr>
          <w:rFonts w:hint="eastAsia"/>
          <w:lang w:eastAsia="zh-CN"/>
        </w:rPr>
        <w:t>。</w:t>
      </w:r>
    </w:p>
    <w:p w14:paraId="535D2710">
      <w:pPr>
        <w:pStyle w:val="148"/>
        <w:rPr>
          <w:lang w:eastAsia="zh-CN"/>
        </w:rPr>
      </w:pPr>
      <w:r>
        <w:rPr>
          <w:rFonts w:hint="eastAsia"/>
          <w:lang w:eastAsia="zh-CN"/>
        </w:rPr>
        <w:t>欧洲地区无纸化图表记录仪市场规模（2020-2031 年）&amp;（百万美元）</w:t>
      </w:r>
    </w:p>
    <w:p w14:paraId="33261207">
      <w:pPr>
        <w:pStyle w:val="145"/>
        <w:jc w:val="center"/>
        <w:rPr>
          <w:lang w:val="en-US" w:eastAsia="zh-CN"/>
        </w:rPr>
      </w:pPr>
      <w:r>
        <w:drawing>
          <wp:inline distT="0" distB="0" distL="0" distR="0">
            <wp:extent cx="6132830" cy="2713990"/>
            <wp:effectExtent l="0" t="0" r="1270" b="0"/>
            <wp:docPr id="14214762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476279" name="图片 1"/>
                    <pic:cNvPicPr>
                      <a:picLocks noChangeAspect="1"/>
                    </pic:cNvPicPr>
                  </pic:nvPicPr>
                  <pic:blipFill>
                    <a:blip r:embed="rId10"/>
                    <a:stretch>
                      <a:fillRect/>
                    </a:stretch>
                  </pic:blipFill>
                  <pic:spPr>
                    <a:xfrm>
                      <a:off x="0" y="0"/>
                      <a:ext cx="6133333" cy="2714286"/>
                    </a:xfrm>
                    <a:prstGeom prst="rect">
                      <a:avLst/>
                    </a:prstGeom>
                  </pic:spPr>
                </pic:pic>
              </a:graphicData>
            </a:graphic>
          </wp:inline>
        </w:drawing>
      </w:r>
    </w:p>
    <w:p w14:paraId="548964BA">
      <w:pPr>
        <w:pStyle w:val="143"/>
        <w:rPr>
          <w:lang w:eastAsia="zh-CN"/>
        </w:rPr>
      </w:pPr>
      <w:r>
        <w:rPr>
          <w:rFonts w:hint="eastAsia"/>
          <w:lang w:eastAsia="zh-CN"/>
        </w:rPr>
        <w:t>来源：如上图表/数据，摘自QYResearch最新报告“欧洲地区</w:t>
      </w:r>
      <w:r>
        <w:rPr>
          <w:lang w:eastAsia="zh-CN"/>
        </w:rPr>
        <w:t>无纸化图表记录仪</w:t>
      </w:r>
      <w:r>
        <w:rPr>
          <w:rFonts w:hint="eastAsia"/>
          <w:lang w:eastAsia="zh-CN"/>
        </w:rPr>
        <w:t>市场研究报告2025-2031”</w:t>
      </w:r>
      <w:r>
        <w:rPr>
          <w:lang w:eastAsia="zh-CN"/>
        </w:rPr>
        <w:t>.</w:t>
      </w:r>
    </w:p>
    <w:p w14:paraId="12FD9BEF">
      <w:pPr>
        <w:pStyle w:val="148"/>
        <w:rPr>
          <w:lang w:eastAsia="zh-CN"/>
        </w:rPr>
      </w:pPr>
      <w:r>
        <w:rPr>
          <w:rFonts w:hint="eastAsia"/>
          <w:lang w:eastAsia="zh-CN"/>
        </w:rPr>
        <w:t>欧洲地区无纸化图表记录仪市场规模，2020 VS 2024 VS 2031（百万美元）</w:t>
      </w:r>
    </w:p>
    <w:p w14:paraId="0542CA4A">
      <w:pPr>
        <w:pStyle w:val="145"/>
        <w:jc w:val="center"/>
        <w:rPr>
          <w:lang w:eastAsia="zh-CN"/>
        </w:rPr>
      </w:pPr>
      <w:r>
        <w:drawing>
          <wp:inline distT="0" distB="0" distL="0" distR="0">
            <wp:extent cx="6113780" cy="3123565"/>
            <wp:effectExtent l="0" t="0" r="1270" b="635"/>
            <wp:docPr id="537782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782467" name="图片 1"/>
                    <pic:cNvPicPr>
                      <a:picLocks noChangeAspect="1"/>
                    </pic:cNvPicPr>
                  </pic:nvPicPr>
                  <pic:blipFill>
                    <a:blip r:embed="rId11"/>
                    <a:stretch>
                      <a:fillRect/>
                    </a:stretch>
                  </pic:blipFill>
                  <pic:spPr>
                    <a:xfrm>
                      <a:off x="0" y="0"/>
                      <a:ext cx="6114286" cy="3123809"/>
                    </a:xfrm>
                    <a:prstGeom prst="rect">
                      <a:avLst/>
                    </a:prstGeom>
                  </pic:spPr>
                </pic:pic>
              </a:graphicData>
            </a:graphic>
          </wp:inline>
        </w:drawing>
      </w:r>
    </w:p>
    <w:p w14:paraId="059D3352">
      <w:pPr>
        <w:pStyle w:val="145"/>
        <w:jc w:val="left"/>
        <w:rPr>
          <w:i/>
          <w:sz w:val="16"/>
          <w:lang w:eastAsia="zh-CN"/>
        </w:rPr>
      </w:pPr>
      <w:r>
        <w:rPr>
          <w:rFonts w:hint="eastAsia"/>
          <w:i/>
          <w:sz w:val="16"/>
          <w:lang w:eastAsia="zh-CN"/>
        </w:rPr>
        <w:t>来源：如上图表/数据，摘自QYResearch最新报告“欧洲地区</w:t>
      </w:r>
      <w:r>
        <w:rPr>
          <w:i/>
          <w:sz w:val="16"/>
          <w:lang w:eastAsia="zh-CN"/>
        </w:rPr>
        <w:t>无纸化图表记录仪</w:t>
      </w:r>
      <w:r>
        <w:rPr>
          <w:rFonts w:hint="eastAsia"/>
          <w:i/>
          <w:sz w:val="16"/>
          <w:lang w:eastAsia="zh-CN"/>
        </w:rPr>
        <w:t>市场研究报告2025-2031”</w:t>
      </w:r>
      <w:r>
        <w:rPr>
          <w:i/>
          <w:sz w:val="16"/>
          <w:lang w:eastAsia="zh-CN"/>
        </w:rPr>
        <w:t>.</w:t>
      </w:r>
    </w:p>
    <w:p w14:paraId="720E31E2">
      <w:pPr>
        <w:pStyle w:val="148"/>
        <w:rPr>
          <w:lang w:eastAsia="zh-CN"/>
        </w:rPr>
      </w:pPr>
      <w:r>
        <w:rPr>
          <w:rFonts w:hint="eastAsia"/>
          <w:lang w:eastAsia="zh-CN"/>
        </w:rPr>
        <w:t>欧洲地区</w:t>
      </w:r>
      <w:r>
        <w:rPr>
          <w:lang w:eastAsia="zh-CN"/>
        </w:rPr>
        <w:t>无纸化图表记录仪</w:t>
      </w:r>
      <w:r>
        <w:rPr>
          <w:rFonts w:hint="eastAsia"/>
          <w:lang w:eastAsia="zh-CN"/>
        </w:rPr>
        <w:t>市场前10强生产商排名及市场占有率（基于2</w:t>
      </w:r>
      <w:r>
        <w:rPr>
          <w:lang w:eastAsia="zh-CN"/>
        </w:rPr>
        <w:t>02</w:t>
      </w:r>
      <w:r>
        <w:rPr>
          <w:rFonts w:hint="eastAsia"/>
          <w:lang w:eastAsia="zh-CN"/>
        </w:rPr>
        <w:t>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drawing>
          <wp:inline distT="0" distB="0" distL="0" distR="0">
            <wp:extent cx="3771265" cy="5989955"/>
            <wp:effectExtent l="0" t="0" r="635" b="0"/>
            <wp:docPr id="13881733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173347" name="图片 1"/>
                    <pic:cNvPicPr>
                      <a:picLocks noChangeAspect="1"/>
                    </pic:cNvPicPr>
                  </pic:nvPicPr>
                  <pic:blipFill>
                    <a:blip r:embed="rId12"/>
                    <a:stretch>
                      <a:fillRect/>
                    </a:stretch>
                  </pic:blipFill>
                  <pic:spPr>
                    <a:xfrm>
                      <a:off x="0" y="0"/>
                      <a:ext cx="3771429" cy="5990476"/>
                    </a:xfrm>
                    <a:prstGeom prst="rect">
                      <a:avLst/>
                    </a:prstGeom>
                  </pic:spPr>
                </pic:pic>
              </a:graphicData>
            </a:graphic>
          </wp:inline>
        </w:drawing>
      </w:r>
    </w:p>
    <w:p w14:paraId="04A43543">
      <w:pPr>
        <w:pStyle w:val="143"/>
        <w:rPr>
          <w:lang w:eastAsia="zh-CN"/>
        </w:rPr>
      </w:pPr>
      <w:r>
        <w:rPr>
          <w:rFonts w:hint="eastAsia"/>
          <w:lang w:eastAsia="zh-CN"/>
        </w:rPr>
        <w:t>来源：如上图表/数据，摘自QYResearch报告“欧洲地区</w:t>
      </w:r>
      <w:r>
        <w:rPr>
          <w:lang w:eastAsia="zh-CN"/>
        </w:rPr>
        <w:t>无纸化图表记录仪</w:t>
      </w:r>
      <w:r>
        <w:rPr>
          <w:rFonts w:hint="eastAsia"/>
          <w:lang w:eastAsia="zh-CN"/>
        </w:rPr>
        <w:t>市场研究报告2025-2031”，行业处于不断变动之中，最新数据请联系QYResearch咨询。</w:t>
      </w:r>
    </w:p>
    <w:p w14:paraId="1BF6630C">
      <w:pPr>
        <w:pStyle w:val="145"/>
        <w:rPr>
          <w:lang w:eastAsia="zh-CN"/>
        </w:rPr>
      </w:pPr>
      <w:r>
        <w:rPr>
          <w:rFonts w:hint="eastAsia"/>
          <w:lang w:eastAsia="zh-CN"/>
        </w:rPr>
        <w:t>欧洲地区范围内，</w:t>
      </w:r>
      <w:r>
        <w:rPr>
          <w:lang w:eastAsia="zh-CN"/>
        </w:rPr>
        <w:t>无纸化图表记录仪</w:t>
      </w:r>
      <w:r>
        <w:rPr>
          <w:rFonts w:hint="eastAsia"/>
          <w:lang w:eastAsia="zh-CN"/>
        </w:rPr>
        <w:t>主要生产商包括</w:t>
      </w:r>
      <w:r>
        <w:rPr>
          <w:lang w:eastAsia="zh-CN"/>
        </w:rPr>
        <w:t>Honeywell</w:t>
      </w:r>
      <w:r>
        <w:rPr>
          <w:rFonts w:hint="eastAsia"/>
          <w:lang w:eastAsia="zh-CN"/>
        </w:rPr>
        <w:t>，</w:t>
      </w:r>
      <w:r>
        <w:rPr>
          <w:lang w:eastAsia="zh-CN"/>
        </w:rPr>
        <w:t>Siemens</w:t>
      </w:r>
      <w:r>
        <w:rPr>
          <w:rFonts w:hint="eastAsia"/>
          <w:lang w:eastAsia="zh-CN"/>
        </w:rPr>
        <w:t>，</w:t>
      </w:r>
      <w:r>
        <w:rPr>
          <w:lang w:eastAsia="zh-CN"/>
        </w:rPr>
        <w:t xml:space="preserve"> ABB</w:t>
      </w:r>
      <w:r>
        <w:rPr>
          <w:rFonts w:hint="eastAsia"/>
          <w:lang w:eastAsia="zh-CN"/>
        </w:rPr>
        <w:t>，</w:t>
      </w:r>
      <w:r>
        <w:rPr>
          <w:lang w:eastAsia="zh-CN"/>
        </w:rPr>
        <w:t xml:space="preserve"> Endress+Hauser Group</w:t>
      </w:r>
      <w:r>
        <w:rPr>
          <w:rFonts w:hint="eastAsia"/>
          <w:lang w:eastAsia="zh-CN"/>
        </w:rPr>
        <w:t>，</w:t>
      </w:r>
      <w:r>
        <w:rPr>
          <w:lang w:eastAsia="zh-CN"/>
        </w:rPr>
        <w:t>Yokogawa Electric</w:t>
      </w:r>
      <w:r>
        <w:rPr>
          <w:rFonts w:hint="eastAsia"/>
          <w:lang w:eastAsia="zh-CN"/>
        </w:rPr>
        <w:t>等。</w:t>
      </w:r>
    </w:p>
    <w:p w14:paraId="3E6DE9A8">
      <w:pPr>
        <w:pStyle w:val="148"/>
        <w:rPr>
          <w:lang w:eastAsia="zh-CN"/>
        </w:rPr>
      </w:pPr>
      <w:r>
        <w:rPr>
          <w:lang w:eastAsia="zh-CN"/>
        </w:rPr>
        <w:t>无纸化图表记录仪</w:t>
      </w:r>
      <w:r>
        <w:rPr>
          <w:rFonts w:hint="eastAsia"/>
          <w:lang w:eastAsia="zh-CN"/>
        </w:rPr>
        <w:t>欧洲地区市场份额，按产品类型细分</w:t>
      </w:r>
    </w:p>
    <w:p w14:paraId="1DAC1641">
      <w:pPr>
        <w:pStyle w:val="145"/>
        <w:jc w:val="center"/>
        <w:rPr>
          <w:lang w:eastAsia="zh-CN"/>
        </w:rPr>
      </w:pPr>
      <w:r>
        <w:drawing>
          <wp:inline distT="0" distB="0" distL="0" distR="0">
            <wp:extent cx="3075940" cy="3047365"/>
            <wp:effectExtent l="0" t="0" r="0" b="635"/>
            <wp:docPr id="18576618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661849" name="图片 1"/>
                    <pic:cNvPicPr>
                      <a:picLocks noChangeAspect="1"/>
                    </pic:cNvPicPr>
                  </pic:nvPicPr>
                  <pic:blipFill>
                    <a:blip r:embed="rId13"/>
                    <a:stretch>
                      <a:fillRect/>
                    </a:stretch>
                  </pic:blipFill>
                  <pic:spPr>
                    <a:xfrm>
                      <a:off x="0" y="0"/>
                      <a:ext cx="3076190" cy="3047619"/>
                    </a:xfrm>
                    <a:prstGeom prst="rect">
                      <a:avLst/>
                    </a:prstGeom>
                  </pic:spPr>
                </pic:pic>
              </a:graphicData>
            </a:graphic>
          </wp:inline>
        </w:drawing>
      </w:r>
    </w:p>
    <w:p w14:paraId="6DDE815E">
      <w:pPr>
        <w:pStyle w:val="143"/>
        <w:rPr>
          <w:lang w:eastAsia="zh-CN"/>
        </w:rPr>
      </w:pPr>
      <w:r>
        <w:rPr>
          <w:rFonts w:hint="eastAsia"/>
          <w:lang w:eastAsia="zh-CN"/>
        </w:rPr>
        <w:t>来源：如上图表/数据，摘自QYResearch最新报告“欧洲地区</w:t>
      </w:r>
      <w:r>
        <w:rPr>
          <w:lang w:eastAsia="zh-CN"/>
        </w:rPr>
        <w:t>无纸化图表记录仪</w:t>
      </w:r>
      <w:r>
        <w:rPr>
          <w:rFonts w:hint="eastAsia"/>
          <w:lang w:eastAsia="zh-CN"/>
        </w:rPr>
        <w:t>市场研究报告2025-2031”</w:t>
      </w:r>
      <w:r>
        <w:rPr>
          <w:lang w:eastAsia="zh-CN"/>
        </w:rPr>
        <w:t>.</w:t>
      </w:r>
    </w:p>
    <w:p w14:paraId="41C3AE68">
      <w:pPr>
        <w:pStyle w:val="143"/>
        <w:rPr>
          <w:i w:val="0"/>
          <w:sz w:val="21"/>
          <w:lang w:eastAsia="zh-CN"/>
        </w:rPr>
      </w:pPr>
      <w:r>
        <w:rPr>
          <w:rFonts w:hint="eastAsia"/>
          <w:i w:val="0"/>
          <w:sz w:val="21"/>
          <w:lang w:eastAsia="zh-CN"/>
        </w:rPr>
        <w:t>无纸化图表记录仪市场规模进一步扩大，主要类别有面板安装无纸图表记录仪、便携式无纸图表记录仪等。2024年欧洲地区面板安装无纸图表记录仪合计占比达到84.45%。</w:t>
      </w:r>
    </w:p>
    <w:p w14:paraId="2F128523">
      <w:pPr>
        <w:pStyle w:val="148"/>
        <w:rPr>
          <w:lang w:eastAsia="zh-CN"/>
        </w:rPr>
      </w:pPr>
      <w:r>
        <w:rPr>
          <w:lang w:eastAsia="zh-CN"/>
        </w:rPr>
        <w:t>无纸化图表记录仪</w:t>
      </w:r>
      <w:r>
        <w:rPr>
          <w:rFonts w:hint="eastAsia"/>
          <w:lang w:eastAsia="zh-CN"/>
        </w:rPr>
        <w:t>欧洲地区市场份额，按产品应用细分</w:t>
      </w:r>
    </w:p>
    <w:p w14:paraId="0A4DB270">
      <w:pPr>
        <w:widowControl/>
        <w:topLinePunct w:val="0"/>
        <w:spacing w:after="0"/>
        <w:jc w:val="center"/>
        <w:rPr>
          <w:rFonts w:hint="eastAsia" w:ascii="宋体" w:hAnsi="宋体" w:cs="宋体"/>
          <w:kern w:val="0"/>
          <w:sz w:val="24"/>
          <w:szCs w:val="24"/>
        </w:rPr>
      </w:pPr>
      <w:r>
        <w:drawing>
          <wp:inline distT="0" distB="0" distL="0" distR="0">
            <wp:extent cx="3075940" cy="3047365"/>
            <wp:effectExtent l="0" t="0" r="0" b="635"/>
            <wp:docPr id="1752408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408047" name="图片 1"/>
                    <pic:cNvPicPr>
                      <a:picLocks noChangeAspect="1"/>
                    </pic:cNvPicPr>
                  </pic:nvPicPr>
                  <pic:blipFill>
                    <a:blip r:embed="rId14"/>
                    <a:stretch>
                      <a:fillRect/>
                    </a:stretch>
                  </pic:blipFill>
                  <pic:spPr>
                    <a:xfrm>
                      <a:off x="0" y="0"/>
                      <a:ext cx="3076190" cy="3047619"/>
                    </a:xfrm>
                    <a:prstGeom prst="rect">
                      <a:avLst/>
                    </a:prstGeom>
                  </pic:spPr>
                </pic:pic>
              </a:graphicData>
            </a:graphic>
          </wp:inline>
        </w:drawing>
      </w:r>
    </w:p>
    <w:p w14:paraId="265E47E5">
      <w:pPr>
        <w:pStyle w:val="143"/>
        <w:rPr>
          <w:lang w:eastAsia="zh-CN"/>
        </w:rPr>
      </w:pPr>
      <w:r>
        <w:rPr>
          <w:rFonts w:hint="eastAsia"/>
          <w:lang w:eastAsia="zh-CN"/>
        </w:rPr>
        <w:t>来源：如上图表/数据，摘自QYResearch最新报告“欧洲地区</w:t>
      </w:r>
      <w:r>
        <w:rPr>
          <w:lang w:eastAsia="zh-CN"/>
        </w:rPr>
        <w:t>无纸化图表记录仪</w:t>
      </w:r>
      <w:r>
        <w:rPr>
          <w:rFonts w:hint="eastAsia"/>
          <w:lang w:eastAsia="zh-CN"/>
        </w:rPr>
        <w:t>市场研究报告2025-2031”</w:t>
      </w:r>
      <w:r>
        <w:rPr>
          <w:lang w:eastAsia="zh-CN"/>
        </w:rPr>
        <w:t>.</w:t>
      </w:r>
    </w:p>
    <w:p w14:paraId="0953774E">
      <w:pPr>
        <w:widowControl/>
        <w:topLinePunct w:val="0"/>
        <w:spacing w:after="0"/>
        <w:jc w:val="center"/>
        <w:rPr>
          <w:rFonts w:hint="eastAsia" w:ascii="宋体" w:hAnsi="宋体" w:cs="宋体"/>
          <w:kern w:val="0"/>
          <w:sz w:val="24"/>
          <w:szCs w:val="24"/>
          <w:lang w:val="en-IN"/>
        </w:rPr>
      </w:pPr>
    </w:p>
    <w:p w14:paraId="1F9213C6">
      <w:pPr>
        <w:widowControl/>
        <w:topLinePunct w:val="0"/>
        <w:spacing w:after="0"/>
        <w:jc w:val="left"/>
        <w:rPr>
          <w:rFonts w:hint="eastAsia" w:ascii="宋体" w:hAnsi="宋体" w:cs="宋体"/>
          <w:kern w:val="0"/>
          <w:sz w:val="24"/>
          <w:szCs w:val="24"/>
        </w:rPr>
      </w:pPr>
      <w:r>
        <w:drawing>
          <wp:inline distT="0" distB="0" distL="0" distR="0">
            <wp:extent cx="6180455" cy="2704465"/>
            <wp:effectExtent l="0" t="0" r="0" b="635"/>
            <wp:docPr id="2005342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34233" name="图片 1"/>
                    <pic:cNvPicPr>
                      <a:picLocks noChangeAspect="1"/>
                    </pic:cNvPicPr>
                  </pic:nvPicPr>
                  <pic:blipFill>
                    <a:blip r:embed="rId15"/>
                    <a:stretch>
                      <a:fillRect/>
                    </a:stretch>
                  </pic:blipFill>
                  <pic:spPr>
                    <a:xfrm>
                      <a:off x="0" y="0"/>
                      <a:ext cx="6180952" cy="2704762"/>
                    </a:xfrm>
                    <a:prstGeom prst="rect">
                      <a:avLst/>
                    </a:prstGeom>
                  </pic:spPr>
                </pic:pic>
              </a:graphicData>
            </a:graphic>
          </wp:inline>
        </w:drawing>
      </w:r>
    </w:p>
    <w:p w14:paraId="08CA65EC">
      <w:pPr>
        <w:pStyle w:val="143"/>
        <w:rPr>
          <w:lang w:eastAsia="zh-CN"/>
        </w:rPr>
      </w:pPr>
      <w:r>
        <w:rPr>
          <w:rFonts w:hint="eastAsia"/>
          <w:lang w:eastAsia="zh-CN"/>
        </w:rPr>
        <w:t>来源：如上图表/数据，摘自QYResearch最新报告“欧洲地区</w:t>
      </w:r>
      <w:r>
        <w:rPr>
          <w:lang w:eastAsia="zh-CN"/>
        </w:rPr>
        <w:t>无纸化图表记录仪</w:t>
      </w:r>
      <w:r>
        <w:rPr>
          <w:rFonts w:hint="eastAsia"/>
          <w:lang w:eastAsia="zh-CN"/>
        </w:rPr>
        <w:t>市场研究报告2025-2031”</w:t>
      </w:r>
      <w:r>
        <w:rPr>
          <w:lang w:eastAsia="zh-CN"/>
        </w:rPr>
        <w:t>.</w:t>
      </w:r>
    </w:p>
    <w:p w14:paraId="4B5D90DE">
      <w:pPr>
        <w:pStyle w:val="145"/>
        <w:rPr>
          <w:lang w:eastAsia="zh-CN"/>
        </w:rPr>
      </w:pPr>
      <w:r>
        <w:rPr>
          <w:rFonts w:hint="eastAsia"/>
          <w:lang w:eastAsia="zh-CN"/>
        </w:rPr>
        <w:t>就产品类型而言，在欧洲市场目前工业自动化与过程控制是最主要的需求来源，2024年占据大约50.42</w:t>
      </w:r>
      <w:r>
        <w:rPr>
          <w:lang w:eastAsia="zh-CN"/>
        </w:rPr>
        <w:t>%</w:t>
      </w:r>
      <w:r>
        <w:rPr>
          <w:rFonts w:hint="eastAsia"/>
          <w:lang w:eastAsia="zh-CN"/>
        </w:rPr>
        <w:t>的份额。</w:t>
      </w:r>
    </w:p>
    <w:p w14:paraId="085A6042">
      <w:pPr>
        <w:pStyle w:val="145"/>
        <w:rPr>
          <w:lang w:eastAsia="zh-CN"/>
        </w:rPr>
      </w:pPr>
    </w:p>
    <w:p w14:paraId="0CD10F4E">
      <w:pPr>
        <w:pStyle w:val="148"/>
        <w:rPr>
          <w:lang w:eastAsia="zh-CN"/>
        </w:rPr>
      </w:pPr>
      <w:r>
        <w:rPr>
          <w:rFonts w:hint="eastAsia"/>
          <w:lang w:eastAsia="zh-CN"/>
        </w:rPr>
        <w:t>欧洲地区主要国家</w:t>
      </w:r>
      <w:r>
        <w:rPr>
          <w:lang w:eastAsia="zh-CN"/>
        </w:rPr>
        <w:t>无纸化图表记录仪</w:t>
      </w:r>
      <w:r>
        <w:rPr>
          <w:rFonts w:hint="eastAsia"/>
          <w:lang w:eastAsia="zh-CN"/>
        </w:rPr>
        <w:t>份额</w:t>
      </w:r>
    </w:p>
    <w:p w14:paraId="4B44D8E9">
      <w:pPr>
        <w:pStyle w:val="145"/>
        <w:rPr>
          <w:lang w:val="en-US" w:eastAsia="zh-CN"/>
        </w:rPr>
      </w:pPr>
      <w:r>
        <w:drawing>
          <wp:inline distT="0" distB="0" distL="0" distR="0">
            <wp:extent cx="6132830" cy="2704465"/>
            <wp:effectExtent l="0" t="0" r="1270" b="635"/>
            <wp:docPr id="3275450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545015" name="图片 1"/>
                    <pic:cNvPicPr>
                      <a:picLocks noChangeAspect="1"/>
                    </pic:cNvPicPr>
                  </pic:nvPicPr>
                  <pic:blipFill>
                    <a:blip r:embed="rId16"/>
                    <a:stretch>
                      <a:fillRect/>
                    </a:stretch>
                  </pic:blipFill>
                  <pic:spPr>
                    <a:xfrm>
                      <a:off x="0" y="0"/>
                      <a:ext cx="6133333" cy="2704762"/>
                    </a:xfrm>
                    <a:prstGeom prst="rect">
                      <a:avLst/>
                    </a:prstGeom>
                  </pic:spPr>
                </pic:pic>
              </a:graphicData>
            </a:graphic>
          </wp:inline>
        </w:drawing>
      </w:r>
    </w:p>
    <w:p w14:paraId="4020B357">
      <w:pPr>
        <w:pStyle w:val="143"/>
        <w:rPr>
          <w:lang w:eastAsia="zh-CN"/>
        </w:rPr>
      </w:pPr>
      <w:r>
        <w:rPr>
          <w:rFonts w:hint="eastAsia"/>
          <w:lang w:eastAsia="zh-CN"/>
        </w:rPr>
        <w:t>来源:如上图表/数据，摘自QYResearch最新报告“欧洲地区</w:t>
      </w:r>
      <w:r>
        <w:rPr>
          <w:lang w:eastAsia="zh-CN"/>
        </w:rPr>
        <w:t>无纸化图表记录仪</w:t>
      </w:r>
      <w:r>
        <w:rPr>
          <w:rFonts w:hint="eastAsia"/>
          <w:lang w:eastAsia="zh-CN"/>
        </w:rPr>
        <w:t>市场研究报告2025-2031”</w:t>
      </w:r>
      <w:r>
        <w:rPr>
          <w:lang w:eastAsia="zh-CN"/>
        </w:rPr>
        <w:t>.</w:t>
      </w:r>
    </w:p>
    <w:p w14:paraId="76349B5B">
      <w:pPr>
        <w:pStyle w:val="143"/>
        <w:rPr>
          <w:i w:val="0"/>
          <w:sz w:val="21"/>
          <w:lang w:eastAsia="zh-CN"/>
        </w:rPr>
      </w:pPr>
    </w:p>
    <w:p w14:paraId="53594980">
      <w:pPr>
        <w:pStyle w:val="32"/>
        <w:jc w:val="left"/>
      </w:pPr>
      <w:r>
        <w:rPr>
          <w:rFonts w:hint="eastAsia"/>
        </w:rPr>
        <w:t>无纸化图表记录仪行业发展趋势</w:t>
      </w:r>
    </w:p>
    <w:p w14:paraId="4F4CF7DF">
      <w:pPr>
        <w:pStyle w:val="145"/>
        <w:rPr>
          <w:lang w:eastAsia="zh-CN"/>
        </w:rPr>
      </w:pPr>
      <w:r>
        <w:rPr>
          <w:rFonts w:hint="eastAsia"/>
          <w:lang w:eastAsia="zh-CN"/>
        </w:rPr>
        <w:t>1. 采用物联网和云集成——无纸化图表记录器越来越多地与物联网 (IoT) 和基于云的解决方案集成，从而实现实时远程监控、数据存储和分析。这一趋势提高了可访问性并有助于做出更好的决策。</w:t>
      </w:r>
    </w:p>
    <w:p w14:paraId="56CDF9C8">
      <w:pPr>
        <w:pStyle w:val="145"/>
        <w:rPr>
          <w:lang w:eastAsia="zh-CN"/>
        </w:rPr>
      </w:pPr>
      <w:r>
        <w:rPr>
          <w:rFonts w:hint="eastAsia"/>
          <w:lang w:eastAsia="zh-CN"/>
        </w:rPr>
        <w:t>2. 工业 4.0 和自动化——智能工厂和工业自动化的兴起推动了对先进无纸化图表记录器的需求，这些记录器可以与 SCADA（监控和数据采集）系统、PLC（可编程逻辑控制器）和 AI 驱动的分析无缝集成，以实现预测性维护和流程优化。</w:t>
      </w:r>
    </w:p>
    <w:p w14:paraId="36F44A58">
      <w:pPr>
        <w:pStyle w:val="145"/>
        <w:rPr>
          <w:lang w:eastAsia="zh-CN"/>
        </w:rPr>
      </w:pPr>
      <w:r>
        <w:rPr>
          <w:rFonts w:hint="eastAsia"/>
          <w:lang w:eastAsia="zh-CN"/>
        </w:rPr>
        <w:t>3. 法规遵从性和数据安全性——制药、食品和饮料以及环境监测等行业的法规越来越严格，增加了对安全、防篡改数字记录器的需求。公司正在采用网络安全措施、加密和审计跟踪来满足监管标准，例如 FDA 21 CFR 第 11 部分和 GMP（良好生产规范）。</w:t>
      </w:r>
    </w:p>
    <w:p w14:paraId="54D4DFE5">
      <w:pPr>
        <w:pStyle w:val="145"/>
        <w:rPr>
          <w:lang w:eastAsia="zh-CN"/>
        </w:rPr>
      </w:pPr>
      <w:r>
        <w:rPr>
          <w:rFonts w:hint="eastAsia"/>
          <w:lang w:eastAsia="zh-CN"/>
        </w:rPr>
        <w:t>4. 增强的用户界面和触摸屏显示器——行业正在转向直观的触摸屏界面和高分辨率显示器，为操作员提供更好的可视化、简便的操作和无缝交互。</w:t>
      </w:r>
    </w:p>
    <w:p w14:paraId="059E2A70">
      <w:pPr>
        <w:pStyle w:val="145"/>
        <w:rPr>
          <w:lang w:eastAsia="zh-CN"/>
        </w:rPr>
      </w:pPr>
      <w:r>
        <w:rPr>
          <w:rFonts w:hint="eastAsia"/>
          <w:lang w:eastAsia="zh-CN"/>
        </w:rPr>
        <w:t>5. 可持续性和环保意识——向无纸化解决方案的转变与全球减少浪费和碳足迹的努力相一致。各行各业越来越多地选择数字数据记录系统来取代传统的纸质记录器，减少纸张消耗并提高运营效率。</w:t>
      </w:r>
    </w:p>
    <w:p w14:paraId="1FCEC0CA">
      <w:pPr>
        <w:pStyle w:val="145"/>
        <w:rPr>
          <w:lang w:eastAsia="zh-CN"/>
        </w:rPr>
      </w:pPr>
      <w:r>
        <w:rPr>
          <w:rFonts w:hint="eastAsia"/>
          <w:lang w:eastAsia="zh-CN"/>
        </w:rPr>
        <w:t>6. 多通道和无线连接——现代无纸图表记录器提供多通道记录功能，允许同时记录多个数据点。无线连接选项（如 Wi-Fi、蓝牙和以太网）可实现无缝数据传输和远程访问。</w:t>
      </w:r>
    </w:p>
    <w:p w14:paraId="04711324">
      <w:pPr>
        <w:pStyle w:val="145"/>
        <w:rPr>
          <w:lang w:eastAsia="zh-CN"/>
        </w:rPr>
      </w:pPr>
      <w:r>
        <w:rPr>
          <w:rFonts w:hint="eastAsia"/>
          <w:lang w:eastAsia="zh-CN"/>
        </w:rPr>
        <w:t>7. 定制和行业特定解决方案——制造商正在开发定制的无纸图表记录器，以满足行业特定需求，无论是用于医疗保健中的温度和湿度监测、水处理厂中的流量记录，还是工业过程中的压力监测。</w:t>
      </w:r>
    </w:p>
    <w:p w14:paraId="249EDF8D">
      <w:pPr>
        <w:pStyle w:val="145"/>
        <w:rPr>
          <w:rFonts w:hint="eastAsia"/>
          <w:lang w:eastAsia="zh-CN"/>
        </w:rPr>
      </w:pPr>
    </w:p>
    <w:p w14:paraId="3BEBF20E">
      <w:pPr>
        <w:pStyle w:val="148"/>
        <w:rPr>
          <w:lang w:eastAsia="zh-CN"/>
        </w:rPr>
      </w:pPr>
      <w:r>
        <w:rPr>
          <w:rFonts w:hint="eastAsia"/>
          <w:lang w:eastAsia="zh-CN"/>
        </w:rPr>
        <w:t>无纸化图表记录仪行业发展驱动阻碍因素及可能面临的挑战分析</w:t>
      </w:r>
    </w:p>
    <w:p w14:paraId="338199A1">
      <w:pPr>
        <w:pStyle w:val="145"/>
        <w:jc w:val="center"/>
        <w:rPr>
          <w:lang w:eastAsia="zh-CN"/>
        </w:rPr>
      </w:pPr>
      <w:r>
        <w:rPr>
          <w:rFonts w:hint="eastAsia" w:ascii="宋体" w:hAnsi="宋体"/>
        </w:rPr>
        <w:drawing>
          <wp:inline distT="0" distB="0" distL="0" distR="0">
            <wp:extent cx="5274310" cy="3076575"/>
            <wp:effectExtent l="38100" t="19050" r="21590" b="28575"/>
            <wp:docPr id="2113241918" name="图示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45046781">
      <w:pPr>
        <w:pStyle w:val="143"/>
        <w:rPr>
          <w:lang w:eastAsia="zh-CN"/>
        </w:rPr>
      </w:pPr>
      <w:r>
        <w:rPr>
          <w:rFonts w:hint="eastAsia"/>
          <w:lang w:eastAsia="zh-CN"/>
        </w:rPr>
        <w:t>来源：第三方资料、新闻报道、业内专家采访及QYResearch整理研究，2025</w:t>
      </w:r>
    </w:p>
    <w:p w14:paraId="4FBF3E2D">
      <w:pPr>
        <w:pStyle w:val="148"/>
        <w:rPr>
          <w:lang w:eastAsia="zh-CN"/>
        </w:rPr>
      </w:pPr>
      <w:r>
        <w:rPr>
          <w:rFonts w:hint="eastAsia"/>
          <w:lang w:eastAsia="zh-CN"/>
        </w:rPr>
        <w:t>球形纤维素珠生产方式及工艺</w:t>
      </w:r>
    </w:p>
    <w:p w14:paraId="0F6BAEDF">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drawing>
          <wp:inline distT="0" distB="0" distL="0" distR="0">
            <wp:extent cx="5380355" cy="3199765"/>
            <wp:effectExtent l="0" t="0" r="0" b="635"/>
            <wp:docPr id="589526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26088" name="图片 1"/>
                    <pic:cNvPicPr>
                      <a:picLocks noChangeAspect="1"/>
                    </pic:cNvPicPr>
                  </pic:nvPicPr>
                  <pic:blipFill>
                    <a:blip r:embed="rId22"/>
                    <a:stretch>
                      <a:fillRect/>
                    </a:stretch>
                  </pic:blipFill>
                  <pic:spPr>
                    <a:xfrm>
                      <a:off x="0" y="0"/>
                      <a:ext cx="5380952" cy="3200000"/>
                    </a:xfrm>
                    <a:prstGeom prst="rect">
                      <a:avLst/>
                    </a:prstGeom>
                  </pic:spPr>
                </pic:pic>
              </a:graphicData>
            </a:graphic>
          </wp:inline>
        </w:drawing>
      </w:r>
    </w:p>
    <w:p w14:paraId="3EEEC140">
      <w:pPr>
        <w:pStyle w:val="143"/>
        <w:rPr>
          <w:lang w:eastAsia="zh-CN"/>
        </w:rPr>
      </w:pPr>
      <w:r>
        <w:rPr>
          <w:rFonts w:hint="eastAsia"/>
          <w:lang w:eastAsia="zh-CN"/>
        </w:rPr>
        <w:t>来源：第三方资料、新闻报道、业内专家采访及QYResearch整理研究，2025</w:t>
      </w:r>
    </w:p>
    <w:p w14:paraId="71DA331F">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p>
    <w:p w14:paraId="423E496D">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p>
    <w:p w14:paraId="07A95001">
      <w:pPr>
        <w:pStyle w:val="145"/>
        <w:rPr>
          <w:lang w:eastAsia="zh-CN"/>
        </w:rPr>
      </w:pPr>
      <w:r>
        <w:rPr>
          <w:rFonts w:hint="eastAsia"/>
          <w:color w:val="0D0D0D" w:themeColor="text1" w:themeTint="F2"/>
          <w:kern w:val="0"/>
          <w:szCs w:val="22"/>
          <w:lang w:val="en-IN"/>
          <w14:textFill>
            <w14:solidFill>
              <w14:schemeClr w14:val="tx1">
                <w14:lumMod w14:val="95000"/>
                <w14:lumOff w14:val="5000"/>
              </w14:schemeClr>
            </w14:solidFill>
          </w14:textFill>
        </w:rPr>
        <w:t>未来，市场预计将受到基于云的解决方案、物联网集成和人工智能驱动的分析的不断发展的影响，从而实现更高效的数据收集、存储和分析。此外，随着欧洲继续加强其环境和数据保护法规，对具有增强安全功能和合规能力的无纸化图表记录仪的需求将不断增长。智能工厂的兴起和工业</w:t>
      </w:r>
      <w:r>
        <w:rPr>
          <w:color w:val="0D0D0D" w:themeColor="text1" w:themeTint="F2"/>
          <w:kern w:val="0"/>
          <w:szCs w:val="22"/>
          <w:lang w:val="en-IN"/>
          <w14:textFill>
            <w14:solidFill>
              <w14:schemeClr w14:val="tx1">
                <w14:lumMod w14:val="95000"/>
                <w14:lumOff w14:val="5000"/>
              </w14:schemeClr>
            </w14:solidFill>
          </w14:textFill>
        </w:rPr>
        <w:t xml:space="preserve"> 4.0 </w:t>
      </w:r>
      <w:r>
        <w:rPr>
          <w:rFonts w:hint="eastAsia"/>
          <w:color w:val="0D0D0D" w:themeColor="text1" w:themeTint="F2"/>
          <w:kern w:val="0"/>
          <w:szCs w:val="22"/>
          <w:lang w:val="en-IN"/>
          <w14:textFill>
            <w14:solidFill>
              <w14:schemeClr w14:val="tx1">
                <w14:lumMod w14:val="95000"/>
                <w14:lumOff w14:val="5000"/>
              </w14:schemeClr>
            </w14:solidFill>
          </w14:textFill>
        </w:rPr>
        <w:t>技术的日益普及将进一步加速市场增长，重点是将无纸化记录仪集成到更广泛的自动化和数据驱动系统中，以优化性能和运营效率。总体而言，在技术创新、监</w:t>
      </w:r>
      <w:r>
        <w:rPr>
          <w:rFonts w:ascii="Times New Roman" w:hAnsi="Times New Roman" w:cs="Times New Roman"/>
          <w:color w:val="0D0D0D" w:themeColor="text1" w:themeTint="F2"/>
          <w:kern w:val="0"/>
          <w:szCs w:val="22"/>
          <w:lang w:val="en-IN"/>
          <w14:textFill>
            <w14:solidFill>
              <w14:schemeClr w14:val="tx1">
                <w14:lumMod w14:val="95000"/>
                <w14:lumOff w14:val="5000"/>
              </w14:schemeClr>
            </w14:solidFill>
          </w14:textFill>
        </w:rPr>
        <w:t>​​</w:t>
      </w:r>
      <w:r>
        <w:rPr>
          <w:rFonts w:hint="eastAsia" w:ascii="宋体" w:hAnsi="宋体" w:cs="宋体"/>
          <w:color w:val="0D0D0D" w:themeColor="text1" w:themeTint="F2"/>
          <w:kern w:val="0"/>
          <w:szCs w:val="22"/>
          <w:lang w:val="en-IN"/>
          <w14:textFill>
            <w14:solidFill>
              <w14:schemeClr w14:val="tx1">
                <w14:lumMod w14:val="95000"/>
                <w14:lumOff w14:val="5000"/>
              </w14:schemeClr>
            </w14:solidFill>
          </w14:textFill>
        </w:rPr>
        <w:t>管压力和对更高数据管理效率的需求的推动下，欧洲无纸化图表记录仪市场有望继续扩张</w:t>
      </w:r>
      <w:r>
        <w:rPr>
          <w:rFonts w:hint="eastAsia"/>
          <w:color w:val="0D0D0D" w:themeColor="text1" w:themeTint="F2"/>
          <w:kern w:val="0"/>
          <w:szCs w:val="22"/>
          <w:lang w:val="en-IN"/>
          <w14:textFill>
            <w14:solidFill>
              <w14:schemeClr w14:val="tx1">
                <w14:lumMod w14:val="95000"/>
                <w14:lumOff w14:val="5000"/>
              </w14:schemeClr>
            </w14:solidFill>
          </w14:textFill>
        </w:rPr>
        <w:t>。</w:t>
      </w:r>
      <w:bookmarkEnd w:id="0"/>
      <w:bookmarkEnd w:id="1"/>
      <w:bookmarkEnd w:id="2"/>
      <w:bookmarkEnd w:id="3"/>
      <w:bookmarkEnd w:id="4"/>
      <w:bookmarkEnd w:id="5"/>
      <w:bookmarkEnd w:id="6"/>
      <w:bookmarkEnd w:id="7"/>
      <w:bookmarkEnd w:id="8"/>
      <w:bookmarkEnd w:id="9"/>
      <w:bookmarkEnd w:id="10"/>
      <w:bookmarkEnd w:id="11"/>
      <w:bookmarkEnd w:id="12"/>
      <w:bookmarkStart w:id="17" w:name="_GoBack"/>
      <w:bookmarkEnd w:id="17"/>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 xml:space="preserve">Copyright © QYResearch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欧洲地区市场研究报告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欧洲地区市场研究报告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2EB"/>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460"/>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AFF"/>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8C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2FA0"/>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9C1"/>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BC8"/>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31"/>
    <w:rsid w:val="0014318A"/>
    <w:rsid w:val="001431FB"/>
    <w:rsid w:val="00143263"/>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491"/>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65F"/>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293"/>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823"/>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CB4"/>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3C"/>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DD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918"/>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C08"/>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032"/>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F86"/>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05F"/>
    <w:rsid w:val="00254465"/>
    <w:rsid w:val="002544A2"/>
    <w:rsid w:val="00254535"/>
    <w:rsid w:val="00254744"/>
    <w:rsid w:val="0025480D"/>
    <w:rsid w:val="00254D5C"/>
    <w:rsid w:val="00254E5E"/>
    <w:rsid w:val="00254FF5"/>
    <w:rsid w:val="002552DD"/>
    <w:rsid w:val="00255ABB"/>
    <w:rsid w:val="00255C63"/>
    <w:rsid w:val="00255EB3"/>
    <w:rsid w:val="00255F7A"/>
    <w:rsid w:val="00256199"/>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37"/>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BF1"/>
    <w:rsid w:val="00291CA3"/>
    <w:rsid w:val="00291F48"/>
    <w:rsid w:val="00292039"/>
    <w:rsid w:val="002921A7"/>
    <w:rsid w:val="0029223A"/>
    <w:rsid w:val="002922EE"/>
    <w:rsid w:val="00292417"/>
    <w:rsid w:val="00292601"/>
    <w:rsid w:val="002926B3"/>
    <w:rsid w:val="00292BA7"/>
    <w:rsid w:val="00292CF2"/>
    <w:rsid w:val="002933CE"/>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15D"/>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8D6"/>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57D20"/>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B4"/>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4F7F"/>
    <w:rsid w:val="003B53ED"/>
    <w:rsid w:val="003B545F"/>
    <w:rsid w:val="003B6385"/>
    <w:rsid w:val="003B6567"/>
    <w:rsid w:val="003B6B09"/>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C8E"/>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25"/>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27"/>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AD8"/>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391"/>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650"/>
    <w:rsid w:val="00482E22"/>
    <w:rsid w:val="00483026"/>
    <w:rsid w:val="004830F4"/>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076"/>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DDB"/>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110"/>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6FA"/>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4FA4"/>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AB"/>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DD"/>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0E"/>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58F"/>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A34"/>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56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0DC"/>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096"/>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22"/>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1"/>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5F7E"/>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936"/>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DC5"/>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3F9F"/>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0F76"/>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9C0"/>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979"/>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34"/>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5A"/>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573"/>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68"/>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21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731"/>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7E0"/>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427"/>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61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12"/>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2C9"/>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6F"/>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5E5"/>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9B"/>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CA6"/>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3F8"/>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A01"/>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B8E"/>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C8E"/>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192"/>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52D"/>
    <w:rsid w:val="00AE166B"/>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63"/>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2D70"/>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A20"/>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58"/>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989"/>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1CAC"/>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1B"/>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3B2B"/>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541"/>
    <w:rsid w:val="00BD4C90"/>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34"/>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8E1"/>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D6E"/>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9D6"/>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71B"/>
    <w:rsid w:val="00C62B86"/>
    <w:rsid w:val="00C62C8B"/>
    <w:rsid w:val="00C62D4B"/>
    <w:rsid w:val="00C632D7"/>
    <w:rsid w:val="00C636A0"/>
    <w:rsid w:val="00C637C4"/>
    <w:rsid w:val="00C637E6"/>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1E72"/>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3E70"/>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002"/>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03"/>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795"/>
    <w:rsid w:val="00C97821"/>
    <w:rsid w:val="00C97944"/>
    <w:rsid w:val="00C97DDE"/>
    <w:rsid w:val="00C97E19"/>
    <w:rsid w:val="00C97ED5"/>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DF"/>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5DC"/>
    <w:rsid w:val="00D16A49"/>
    <w:rsid w:val="00D16BD8"/>
    <w:rsid w:val="00D170AA"/>
    <w:rsid w:val="00D1721A"/>
    <w:rsid w:val="00D17431"/>
    <w:rsid w:val="00D17BBA"/>
    <w:rsid w:val="00D17D04"/>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AA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7F5"/>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B76E9"/>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5D3"/>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555"/>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83"/>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9A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215"/>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1A"/>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431"/>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87E"/>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9D"/>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775"/>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EA62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1.png"/><Relationship Id="rId21" Type="http://schemas.microsoft.com/office/2007/relationships/diagramDrawing" Target="diagrams/drawing1.xml"/><Relationship Id="rId20" Type="http://schemas.openxmlformats.org/officeDocument/2006/relationships/diagramColors" Target="diagrams/colors1.xml"/><Relationship Id="rId2" Type="http://schemas.openxmlformats.org/officeDocument/2006/relationships/settings" Target="settings.xml"/><Relationship Id="rId19" Type="http://schemas.openxmlformats.org/officeDocument/2006/relationships/diagramQuickStyle" Target="diagrams/quickStyle1.xml"/><Relationship Id="rId18" Type="http://schemas.openxmlformats.org/officeDocument/2006/relationships/diagramLayout" Target="diagrams/layout1.xml"/><Relationship Id="rId17" Type="http://schemas.openxmlformats.org/officeDocument/2006/relationships/diagramData" Target="diagrams/data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E7EFBF1-457F-459B-BA3A-451077C74B26}" type="doc">
      <dgm:prSet loTypeId="urn:microsoft.com/office/officeart/2005/8/layout/hList6" loCatId="list" qsTypeId="urn:microsoft.com/office/officeart/2005/8/quickstyle/simple1" qsCatId="simple" csTypeId="urn:microsoft.com/office/officeart/2005/8/colors/colorful1" csCatId="colorful" phldr="1"/>
      <dgm:spPr/>
      <dgm:t>
        <a:bodyPr/>
        <a:p>
          <a:endParaRPr lang="zh-CN" altLang="en-US"/>
        </a:p>
      </dgm:t>
    </dgm:pt>
    <dgm:pt modelId="{71022491-A01B-47CE-8189-BE8AA31A7E03}">
      <dgm:prSet phldrT="[文本]"/>
      <dgm:spPr/>
      <dgm:t>
        <a:bodyPr/>
        <a:p>
          <a:r>
            <a:rPr lang="zh-CN" altLang="en-US"/>
            <a:t>驱动因素</a:t>
          </a:r>
        </a:p>
      </dgm:t>
    </dgm:pt>
    <dgm:pt modelId="{F5ECA3C4-42DA-4289-8773-9FE77361980C}" cxnId="{A2AD2A0A-E658-4CC6-8EAC-F79A00512449}" type="parTrans">
      <dgm:prSet/>
      <dgm:spPr/>
      <dgm:t>
        <a:bodyPr/>
        <a:p>
          <a:endParaRPr lang="zh-CN" altLang="en-US"/>
        </a:p>
      </dgm:t>
    </dgm:pt>
    <dgm:pt modelId="{903A65F3-4A5F-4E2F-AE62-A8339332BBD4}" cxnId="{A2AD2A0A-E658-4CC6-8EAC-F79A00512449}" type="sibTrans">
      <dgm:prSet/>
      <dgm:spPr/>
      <dgm:t>
        <a:bodyPr/>
        <a:p>
          <a:endParaRPr lang="zh-CN" altLang="en-US"/>
        </a:p>
      </dgm:t>
    </dgm:pt>
    <dgm:pt modelId="{526C6889-57FA-48A3-9764-E818F78950FC}">
      <dgm:prSet phldrT="[文本]"/>
      <dgm:spPr/>
      <dgm:t>
        <a:bodyPr/>
        <a:p>
          <a:r>
            <a:rPr lang="zh-CN" altLang="en-US"/>
            <a:t>先进芯片技术的崛起
半导体晶圆厂和代工厂的扩张
政府支持和半导体投资</a:t>
          </a:r>
        </a:p>
      </dgm:t>
    </dgm:pt>
    <dgm:pt modelId="{11A56830-22C8-4290-B327-1B8F61C4782D}" cxnId="{1B71358F-812F-4FE4-BB37-68532DD8CCF4}" type="parTrans">
      <dgm:prSet/>
      <dgm:spPr/>
      <dgm:t>
        <a:bodyPr/>
        <a:p>
          <a:endParaRPr lang="zh-CN" altLang="en-US"/>
        </a:p>
      </dgm:t>
    </dgm:pt>
    <dgm:pt modelId="{934329F0-C53D-4963-8102-AD3B654A5B83}" cxnId="{1B71358F-812F-4FE4-BB37-68532DD8CCF4}" type="sibTrans">
      <dgm:prSet/>
      <dgm:spPr/>
      <dgm:t>
        <a:bodyPr/>
        <a:p>
          <a:endParaRPr lang="zh-CN" altLang="en-US"/>
        </a:p>
      </dgm:t>
    </dgm:pt>
    <dgm:pt modelId="{50D6E598-9DA0-479B-9C82-F19AD1F11C7B}">
      <dgm:prSet phldrT="[文本]"/>
      <dgm:spPr/>
      <dgm:t>
        <a:bodyPr/>
        <a:p>
          <a:r>
            <a:rPr lang="zh-CN" altLang="en-US"/>
            <a:t>阻碍因素</a:t>
          </a:r>
        </a:p>
      </dgm:t>
    </dgm:pt>
    <dgm:pt modelId="{BAE81CB0-5369-471A-9F6B-B5CC7505342D}" cxnId="{58D285C3-B68C-4527-AA76-CF9FB67F3283}" type="parTrans">
      <dgm:prSet/>
      <dgm:spPr/>
      <dgm:t>
        <a:bodyPr/>
        <a:p>
          <a:endParaRPr lang="zh-CN" altLang="en-US"/>
        </a:p>
      </dgm:t>
    </dgm:pt>
    <dgm:pt modelId="{C40E4460-24B8-4965-87BE-9D4F9520AA10}" cxnId="{58D285C3-B68C-4527-AA76-CF9FB67F3283}" type="sibTrans">
      <dgm:prSet/>
      <dgm:spPr/>
      <dgm:t>
        <a:bodyPr/>
        <a:p>
          <a:endParaRPr lang="zh-CN" altLang="en-US"/>
        </a:p>
      </dgm:t>
    </dgm:pt>
    <dgm:pt modelId="{AE93C24F-CFBF-4C6A-8A6C-8B5A4EB36AC1}">
      <dgm:prSet phldrT="[文本]"/>
      <dgm:spPr/>
      <dgm:t>
        <a:bodyPr/>
        <a:p>
          <a:r>
            <a:rPr lang="zh-CN" altLang="en-US"/>
            <a:t>维护和运营成本高
小型制造商采用率有限
现有工厂空间受限</a:t>
          </a:r>
        </a:p>
      </dgm:t>
    </dgm:pt>
    <dgm:pt modelId="{FE9AFFD8-8FFD-4AFB-85A9-ABC6479C5BA4}" cxnId="{F9BC252B-1249-489F-BE25-6A7021A2F7C6}" type="parTrans">
      <dgm:prSet/>
      <dgm:spPr/>
      <dgm:t>
        <a:bodyPr/>
        <a:p>
          <a:endParaRPr lang="zh-CN" altLang="en-US"/>
        </a:p>
      </dgm:t>
    </dgm:pt>
    <dgm:pt modelId="{74E21728-58F4-4BE2-8F11-FBEF4823FBD9}" cxnId="{F9BC252B-1249-489F-BE25-6A7021A2F7C6}" type="sibTrans">
      <dgm:prSet/>
      <dgm:spPr/>
      <dgm:t>
        <a:bodyPr/>
        <a:p>
          <a:endParaRPr lang="zh-CN" altLang="en-US"/>
        </a:p>
      </dgm:t>
    </dgm:pt>
    <dgm:pt modelId="{8CAD0422-0687-4FFD-B544-3CF8296A8BB9}">
      <dgm:prSet phldrT="[文本]"/>
      <dgm:spPr/>
      <dgm:t>
        <a:bodyPr/>
        <a:p>
          <a:r>
            <a:rPr lang="zh-CN" altLang="en-US"/>
            <a:t>挑战</a:t>
          </a:r>
        </a:p>
      </dgm:t>
    </dgm:pt>
    <dgm:pt modelId="{60D75305-F8A0-44F2-8C61-0FD4CB2DA208}" cxnId="{B4FE2F47-A5DA-4B3B-A00C-486B0B23FB51}" type="parTrans">
      <dgm:prSet/>
      <dgm:spPr/>
      <dgm:t>
        <a:bodyPr/>
        <a:p>
          <a:endParaRPr lang="zh-CN" altLang="en-US"/>
        </a:p>
      </dgm:t>
    </dgm:pt>
    <dgm:pt modelId="{C98BA357-F272-4613-A1BF-D7D8A4CA8BA8}" cxnId="{B4FE2F47-A5DA-4B3B-A00C-486B0B23FB51}" type="sibTrans">
      <dgm:prSet/>
      <dgm:spPr/>
      <dgm:t>
        <a:bodyPr/>
        <a:p>
          <a:endParaRPr lang="zh-CN" altLang="en-US"/>
        </a:p>
      </dgm:t>
    </dgm:pt>
    <dgm:pt modelId="{19EA03CC-E545-439D-B358-739631383342}">
      <dgm:prSet phldrT="[文本]"/>
      <dgm:spPr/>
      <dgm:t>
        <a:bodyPr/>
        <a:p>
          <a:r>
            <a:rPr lang="zh-CN" altLang="en-US"/>
            <a:t>初始投资成本高
定制和集成复杂
供应链中断和原材料短缺</a:t>
          </a:r>
        </a:p>
      </dgm:t>
    </dgm:pt>
    <dgm:pt modelId="{F7185A1C-EC7C-44E8-8435-7087E69127E5}" cxnId="{D57D0D34-35BE-49DA-A7E2-941B6C595A04}" type="parTrans">
      <dgm:prSet/>
      <dgm:spPr/>
      <dgm:t>
        <a:bodyPr/>
        <a:p>
          <a:endParaRPr lang="zh-CN" altLang="en-US"/>
        </a:p>
      </dgm:t>
    </dgm:pt>
    <dgm:pt modelId="{1AFE92BE-E580-4D19-A355-0C4EC3CA96EC}" cxnId="{D57D0D34-35BE-49DA-A7E2-941B6C595A04}" type="sibTrans">
      <dgm:prSet/>
      <dgm:spPr/>
      <dgm:t>
        <a:bodyPr/>
        <a:p>
          <a:endParaRPr lang="zh-CN" altLang="en-US"/>
        </a:p>
      </dgm:t>
    </dgm:pt>
    <dgm:pt modelId="{DB344A5A-6DD0-4C54-B5CB-340719511482}" type="pres">
      <dgm:prSet presAssocID="{AE7EFBF1-457F-459B-BA3A-451077C74B26}" presName="Name0" presStyleCnt="0">
        <dgm:presLayoutVars>
          <dgm:dir/>
          <dgm:resizeHandles val="exact"/>
        </dgm:presLayoutVars>
      </dgm:prSet>
      <dgm:spPr/>
    </dgm:pt>
    <dgm:pt modelId="{15FDDFDF-078F-446C-BBFF-571C8EA857D3}" type="pres">
      <dgm:prSet presAssocID="{71022491-A01B-47CE-8189-BE8AA31A7E03}" presName="node" presStyleLbl="node1" presStyleIdx="0" presStyleCnt="3">
        <dgm:presLayoutVars>
          <dgm:bulletEnabled val="1"/>
        </dgm:presLayoutVars>
      </dgm:prSet>
      <dgm:spPr/>
    </dgm:pt>
    <dgm:pt modelId="{6777CE52-EC1B-462B-A0B8-4A782093D46C}" type="pres">
      <dgm:prSet presAssocID="{903A65F3-4A5F-4E2F-AE62-A8339332BBD4}" presName="sibTrans" presStyleCnt="0"/>
      <dgm:spPr/>
    </dgm:pt>
    <dgm:pt modelId="{784D50E2-AE78-4321-9533-E2C00EF2AEF8}" type="pres">
      <dgm:prSet presAssocID="{50D6E598-9DA0-479B-9C82-F19AD1F11C7B}" presName="node" presStyleLbl="node1" presStyleIdx="1" presStyleCnt="3">
        <dgm:presLayoutVars>
          <dgm:bulletEnabled val="1"/>
        </dgm:presLayoutVars>
      </dgm:prSet>
      <dgm:spPr/>
    </dgm:pt>
    <dgm:pt modelId="{F3DAB7A1-194C-4280-AD92-272591DA0B56}" type="pres">
      <dgm:prSet presAssocID="{C40E4460-24B8-4965-87BE-9D4F9520AA10}" presName="sibTrans" presStyleCnt="0"/>
      <dgm:spPr/>
    </dgm:pt>
    <dgm:pt modelId="{9AD8799E-BAF2-40FE-8B58-DC73BF9088D3}" type="pres">
      <dgm:prSet presAssocID="{8CAD0422-0687-4FFD-B544-3CF8296A8BB9}" presName="node" presStyleLbl="node1" presStyleIdx="2" presStyleCnt="3">
        <dgm:presLayoutVars>
          <dgm:bulletEnabled val="1"/>
        </dgm:presLayoutVars>
      </dgm:prSet>
      <dgm:spPr/>
    </dgm:pt>
  </dgm:ptLst>
  <dgm:cxnLst>
    <dgm:cxn modelId="{A2AD2A0A-E658-4CC6-8EAC-F79A00512449}" srcId="{AE7EFBF1-457F-459B-BA3A-451077C74B26}" destId="{71022491-A01B-47CE-8189-BE8AA31A7E03}" srcOrd="0" destOrd="0" parTransId="{F5ECA3C4-42DA-4289-8773-9FE77361980C}" sibTransId="{903A65F3-4A5F-4E2F-AE62-A8339332BBD4}"/>
    <dgm:cxn modelId="{74D57918-8DD3-470C-801E-98DCD49E90AF}" type="presOf" srcId="{19EA03CC-E545-439D-B358-739631383342}" destId="{9AD8799E-BAF2-40FE-8B58-DC73BF9088D3}" srcOrd="0" destOrd="1" presId="urn:microsoft.com/office/officeart/2005/8/layout/hList6"/>
    <dgm:cxn modelId="{F9BC252B-1249-489F-BE25-6A7021A2F7C6}" srcId="{50D6E598-9DA0-479B-9C82-F19AD1F11C7B}" destId="{AE93C24F-CFBF-4C6A-8A6C-8B5A4EB36AC1}" srcOrd="0" destOrd="0" parTransId="{FE9AFFD8-8FFD-4AFB-85A9-ABC6479C5BA4}" sibTransId="{74E21728-58F4-4BE2-8F11-FBEF4823FBD9}"/>
    <dgm:cxn modelId="{D57D0D34-35BE-49DA-A7E2-941B6C595A04}" srcId="{8CAD0422-0687-4FFD-B544-3CF8296A8BB9}" destId="{19EA03CC-E545-439D-B358-739631383342}" srcOrd="0" destOrd="0" parTransId="{F7185A1C-EC7C-44E8-8435-7087E69127E5}" sibTransId="{1AFE92BE-E580-4D19-A355-0C4EC3CA96EC}"/>
    <dgm:cxn modelId="{26B11B40-58F0-46BE-87B6-3A69F4F5B9C3}" type="presOf" srcId="{AE93C24F-CFBF-4C6A-8A6C-8B5A4EB36AC1}" destId="{784D50E2-AE78-4321-9533-E2C00EF2AEF8}" srcOrd="0" destOrd="1" presId="urn:microsoft.com/office/officeart/2005/8/layout/hList6"/>
    <dgm:cxn modelId="{B4FE2F47-A5DA-4B3B-A00C-486B0B23FB51}" srcId="{AE7EFBF1-457F-459B-BA3A-451077C74B26}" destId="{8CAD0422-0687-4FFD-B544-3CF8296A8BB9}" srcOrd="2" destOrd="0" parTransId="{60D75305-F8A0-44F2-8C61-0FD4CB2DA208}" sibTransId="{C98BA357-F272-4613-A1BF-D7D8A4CA8BA8}"/>
    <dgm:cxn modelId="{3C133C4C-2B35-4875-8869-8C5F2BF88B5F}" type="presOf" srcId="{AE7EFBF1-457F-459B-BA3A-451077C74B26}" destId="{DB344A5A-6DD0-4C54-B5CB-340719511482}" srcOrd="0" destOrd="0" presId="urn:microsoft.com/office/officeart/2005/8/layout/hList6"/>
    <dgm:cxn modelId="{1B71358F-812F-4FE4-BB37-68532DD8CCF4}" srcId="{71022491-A01B-47CE-8189-BE8AA31A7E03}" destId="{526C6889-57FA-48A3-9764-E818F78950FC}" srcOrd="0" destOrd="0" parTransId="{11A56830-22C8-4290-B327-1B8F61C4782D}" sibTransId="{934329F0-C53D-4963-8102-AD3B654A5B83}"/>
    <dgm:cxn modelId="{A71125AD-4DAB-4210-8ACA-73CA23FE9974}" type="presOf" srcId="{50D6E598-9DA0-479B-9C82-F19AD1F11C7B}" destId="{784D50E2-AE78-4321-9533-E2C00EF2AEF8}" srcOrd="0" destOrd="0" presId="urn:microsoft.com/office/officeart/2005/8/layout/hList6"/>
    <dgm:cxn modelId="{60DB88AE-764A-47AF-9146-D4E759953D94}" type="presOf" srcId="{8CAD0422-0687-4FFD-B544-3CF8296A8BB9}" destId="{9AD8799E-BAF2-40FE-8B58-DC73BF9088D3}" srcOrd="0" destOrd="0" presId="urn:microsoft.com/office/officeart/2005/8/layout/hList6"/>
    <dgm:cxn modelId="{9B3DD4B2-2F2E-4659-B841-5BABAE9FF0B1}" type="presOf" srcId="{71022491-A01B-47CE-8189-BE8AA31A7E03}" destId="{15FDDFDF-078F-446C-BBFF-571C8EA857D3}" srcOrd="0" destOrd="0" presId="urn:microsoft.com/office/officeart/2005/8/layout/hList6"/>
    <dgm:cxn modelId="{70ECF6B8-E6BF-4EE9-82FA-55AFDF37ACAF}" type="presOf" srcId="{526C6889-57FA-48A3-9764-E818F78950FC}" destId="{15FDDFDF-078F-446C-BBFF-571C8EA857D3}" srcOrd="0" destOrd="1" presId="urn:microsoft.com/office/officeart/2005/8/layout/hList6"/>
    <dgm:cxn modelId="{58D285C3-B68C-4527-AA76-CF9FB67F3283}" srcId="{AE7EFBF1-457F-459B-BA3A-451077C74B26}" destId="{50D6E598-9DA0-479B-9C82-F19AD1F11C7B}" srcOrd="1" destOrd="0" parTransId="{BAE81CB0-5369-471A-9F6B-B5CC7505342D}" sibTransId="{C40E4460-24B8-4965-87BE-9D4F9520AA10}"/>
    <dgm:cxn modelId="{103B989C-24F7-46A5-AB39-03E7E65FA166}" type="presParOf" srcId="{DB344A5A-6DD0-4C54-B5CB-340719511482}" destId="{15FDDFDF-078F-446C-BBFF-571C8EA857D3}" srcOrd="0" destOrd="0" presId="urn:microsoft.com/office/officeart/2005/8/layout/hList6"/>
    <dgm:cxn modelId="{E4F8E365-E5B9-489D-A79F-9E3B057263E6}" type="presParOf" srcId="{DB344A5A-6DD0-4C54-B5CB-340719511482}" destId="{6777CE52-EC1B-462B-A0B8-4A782093D46C}" srcOrd="1" destOrd="0" presId="urn:microsoft.com/office/officeart/2005/8/layout/hList6"/>
    <dgm:cxn modelId="{17573489-700E-4E42-88B3-6A268ED5F16B}" type="presParOf" srcId="{DB344A5A-6DD0-4C54-B5CB-340719511482}" destId="{784D50E2-AE78-4321-9533-E2C00EF2AEF8}" srcOrd="2" destOrd="0" presId="urn:microsoft.com/office/officeart/2005/8/layout/hList6"/>
    <dgm:cxn modelId="{98F8A10E-FE6C-47D2-8E02-9F6DAB0759EB}" type="presParOf" srcId="{DB344A5A-6DD0-4C54-B5CB-340719511482}" destId="{F3DAB7A1-194C-4280-AD92-272591DA0B56}" srcOrd="3" destOrd="0" presId="urn:microsoft.com/office/officeart/2005/8/layout/hList6"/>
    <dgm:cxn modelId="{7C271ADD-36EB-4859-8F99-9574304E864C}" type="presParOf" srcId="{DB344A5A-6DD0-4C54-B5CB-340719511482}" destId="{9AD8799E-BAF2-40FE-8B58-DC73BF9088D3}" srcOrd="4" destOrd="0" presId="urn:microsoft.com/office/officeart/2005/8/layout/hList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4310" cy="3076575"/>
        <a:chOff x="0" y="0"/>
        <a:chExt cx="5274310" cy="3076575"/>
      </a:xfrm>
    </dsp:grpSpPr>
    <dsp:sp modelId="{15FDDFDF-078F-446C-BBFF-571C8EA857D3}">
      <dsp:nvSpPr>
        <dsp:cNvPr id="3" name="流程图: 手动操作 2"/>
        <dsp:cNvSpPr/>
      </dsp:nvSpPr>
      <dsp:spPr bwMode="white">
        <a:xfrm rot="-5400000">
          <a:off x="-701095" y="701095"/>
          <a:ext cx="3076575" cy="1674384"/>
        </a:xfrm>
        <a:prstGeom prst="flowChartManualOperation">
          <a:avLst/>
        </a:prstGeom>
      </dsp:spPr>
      <dsp:style>
        <a:lnRef idx="2">
          <a:schemeClr val="lt1"/>
        </a:lnRef>
        <a:fillRef idx="1">
          <a:schemeClr val="accent2"/>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驱动因素</a:t>
          </a:r>
          <a:endParaRPr lang="zh-CN" altLang="en-US"/>
        </a:p>
        <a:p>
          <a:pPr lvl="1">
            <a:lnSpc>
              <a:spcPct val="100000"/>
            </a:lnSpc>
            <a:spcBef>
              <a:spcPct val="0"/>
            </a:spcBef>
            <a:spcAft>
              <a:spcPct val="15000"/>
            </a:spcAft>
            <a:buChar char="•"/>
          </a:pPr>
          <a:r>
            <a:rPr lang="zh-CN" altLang="en-US"/>
            <a:t>先进芯片技术的崛起
半导体晶圆厂和代工厂的扩张
政府支持和半导体投资</a:t>
          </a:r>
        </a:p>
      </dsp:txBody>
      <dsp:txXfrm rot="-5400000">
        <a:off x="-701095" y="701095"/>
        <a:ext cx="3076575" cy="1674384"/>
      </dsp:txXfrm>
    </dsp:sp>
    <dsp:sp modelId="{784D50E2-AE78-4321-9533-E2C00EF2AEF8}">
      <dsp:nvSpPr>
        <dsp:cNvPr id="4" name="流程图: 手动操作 3"/>
        <dsp:cNvSpPr/>
      </dsp:nvSpPr>
      <dsp:spPr bwMode="white">
        <a:xfrm rot="-5400000">
          <a:off x="1098868" y="701095"/>
          <a:ext cx="3076575" cy="1674384"/>
        </a:xfrm>
        <a:prstGeom prst="flowChartManualOperation">
          <a:avLst/>
        </a:prstGeom>
      </dsp:spPr>
      <dsp:style>
        <a:lnRef idx="2">
          <a:schemeClr val="lt1"/>
        </a:lnRef>
        <a:fillRef idx="1">
          <a:schemeClr val="accent3"/>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阻碍因素</a:t>
          </a:r>
          <a:endParaRPr lang="zh-CN" altLang="en-US"/>
        </a:p>
        <a:p>
          <a:pPr lvl="1">
            <a:lnSpc>
              <a:spcPct val="100000"/>
            </a:lnSpc>
            <a:spcBef>
              <a:spcPct val="0"/>
            </a:spcBef>
            <a:spcAft>
              <a:spcPct val="15000"/>
            </a:spcAft>
            <a:buChar char="•"/>
          </a:pPr>
          <a:r>
            <a:rPr lang="zh-CN" altLang="en-US"/>
            <a:t>维护和运营成本高
小型制造商采用率有限
现有工厂空间受限</a:t>
          </a:r>
        </a:p>
      </dsp:txBody>
      <dsp:txXfrm rot="-5400000">
        <a:off x="1098868" y="701095"/>
        <a:ext cx="3076575" cy="1674384"/>
      </dsp:txXfrm>
    </dsp:sp>
    <dsp:sp modelId="{9AD8799E-BAF2-40FE-8B58-DC73BF9088D3}">
      <dsp:nvSpPr>
        <dsp:cNvPr id="5" name="流程图: 手动操作 4"/>
        <dsp:cNvSpPr/>
      </dsp:nvSpPr>
      <dsp:spPr bwMode="white">
        <a:xfrm rot="-5400000">
          <a:off x="2898830" y="701095"/>
          <a:ext cx="3076575" cy="1674384"/>
        </a:xfrm>
        <a:prstGeom prst="flowChartManualOperation">
          <a:avLst/>
        </a:prstGeom>
      </dsp:spPr>
      <dsp:style>
        <a:lnRef idx="2">
          <a:schemeClr val="lt1"/>
        </a:lnRef>
        <a:fillRef idx="1">
          <a:schemeClr val="accent4"/>
        </a:fillRef>
        <a:effectRef idx="0">
          <a:scrgbClr r="0" g="0" b="0"/>
        </a:effectRef>
        <a:fontRef idx="minor">
          <a:schemeClr val="lt1"/>
        </a:fontRef>
      </dsp:style>
      <dsp:txBody>
        <a:bodyPr rot="5400000" lIns="120650" tIns="0" rIns="120650" bIns="0" anchor="t"/>
        <a:lstStyle>
          <a:lvl1pPr algn="l">
            <a:defRPr sz="1900"/>
          </a:lvl1pPr>
          <a:lvl2pPr marL="114300" indent="-114300" algn="l">
            <a:defRPr sz="1400"/>
          </a:lvl2pPr>
          <a:lvl3pPr marL="228600" indent="-114300" algn="l">
            <a:defRPr sz="1400"/>
          </a:lvl3pPr>
          <a:lvl4pPr marL="342900" indent="-114300" algn="l">
            <a:defRPr sz="1400"/>
          </a:lvl4pPr>
          <a:lvl5pPr marL="457200" indent="-114300" algn="l">
            <a:defRPr sz="1400"/>
          </a:lvl5pPr>
          <a:lvl6pPr marL="571500" indent="-114300" algn="l">
            <a:defRPr sz="1400"/>
          </a:lvl6pPr>
          <a:lvl7pPr marL="685800" indent="-114300" algn="l">
            <a:defRPr sz="1400"/>
          </a:lvl7pPr>
          <a:lvl8pPr marL="800100" indent="-114300" algn="l">
            <a:defRPr sz="1400"/>
          </a:lvl8pPr>
          <a:lvl9pPr marL="914400" indent="-114300" algn="l">
            <a:defRPr sz="1400"/>
          </a:lvl9pPr>
        </a:lstStyle>
        <a:p>
          <a:pPr lvl="0">
            <a:lnSpc>
              <a:spcPct val="100000"/>
            </a:lnSpc>
            <a:spcBef>
              <a:spcPct val="0"/>
            </a:spcBef>
            <a:spcAft>
              <a:spcPct val="35000"/>
            </a:spcAft>
          </a:pPr>
          <a:r>
            <a:rPr lang="zh-CN" altLang="en-US"/>
            <a:t>挑战</a:t>
          </a:r>
          <a:endParaRPr lang="zh-CN" altLang="en-US"/>
        </a:p>
        <a:p>
          <a:pPr lvl="1">
            <a:lnSpc>
              <a:spcPct val="100000"/>
            </a:lnSpc>
            <a:spcBef>
              <a:spcPct val="0"/>
            </a:spcBef>
            <a:spcAft>
              <a:spcPct val="15000"/>
            </a:spcAft>
            <a:buChar char="•"/>
          </a:pPr>
          <a:r>
            <a:rPr lang="zh-CN" altLang="en-US"/>
            <a:t>初始投资成本高
定制和集成复杂
供应链中断和原材料短缺</a:t>
          </a:r>
        </a:p>
      </dsp:txBody>
      <dsp:txXfrm rot="-5400000">
        <a:off x="2898830" y="701095"/>
        <a:ext cx="3076575" cy="1674384"/>
      </dsp:txXfrm>
    </dsp:sp>
  </dsp:spTree>
</dsp:drawing>
</file>

<file path=word/diagrams/layout1.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type="flowChartManualOperation" r:blip="" rot="-90">
              <dgm:adjLst/>
            </dgm:shape>
          </dgm:if>
          <dgm:else name="Name6">
            <dgm:shape xmlns:r="http://schemas.openxmlformats.org/officeDocument/2006/relationships" type="flowChartManualOperation" r:blip="" rot="90">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2942</Words>
  <Characters>3368</Characters>
  <Lines>24</Lines>
  <Paragraphs>6</Paragraphs>
  <TotalTime>2</TotalTime>
  <ScaleCrop>false</ScaleCrop>
  <LinksUpToDate>false</LinksUpToDate>
  <CharactersWithSpaces>3402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2025-03-27T08:09:00Z</dcterms:created>
  <dc:creator>yangj</dc:creator>
  <cp:lastModifiedBy>鼕鼕</cp:lastModifiedBy>
  <dcterms:modified xsi:type="dcterms:W3CDTF">2025-08-06T10:41:03Z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2052-12.1.0.21915</vt:lpwstr>
  </property>
  <property fmtid="{D5CDD505-2E9C-101B-9397-08002B2CF9AE}" pid="4" name="ICV">
    <vt:lpwstr>5E28F3921EA44CD38B723D1D2EDEF488_12</vt:lpwstr>
  </property>
</Properties>
</file>