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伊班膦酸钠注射液（艾默坤）——骨转移治疗的理想选择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骨改良药物可抑制破骨细胞介导的骨吸收作用，减少骨丢失，提高骨密度，进而减少恶性肿瘤骨转移引起的骨相关事件（SREs）的发生。骨改良药物主要包括双膦酸盐类药物和地舒单抗。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双膦酸盐类药物作为治疗骨转移的基础药物，目前已发展至第三代。</w:t>
      </w:r>
      <w:r>
        <w:rPr>
          <w:rFonts w:hint="eastAsia" w:ascii="宋体" w:hAnsi="宋体" w:eastAsia="宋体" w:cs="宋体"/>
          <w:sz w:val="28"/>
          <w:szCs w:val="28"/>
        </w:rPr>
        <w:t>第一代是简单的P-C-P结构，代表药物是氯屈膦酸钠；第二代双膦酸盐侧链含有氨基，代表药物主要为帕米膦酸二钠和阿仑膦酸；第三代在氮原子上再引入一个饱和烃链或含氮咪唑环，药物活性进一步增强，代表药物主要为伊班膦酸钠和唑来膦酸。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随着抗肿瘤全身治疗药物的发展，晚期肿瘤患者的生存时间得以延长，因而骨改良药物长期使用造成的不良反应发生率有上升趋势。与其它骨改良药物相比，伊班膦酸钠具备以下优势：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伊班膦酸钠注射液具备良好的安全性：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1、急性期反应低：</w:t>
      </w:r>
      <w:r>
        <w:rPr>
          <w:rFonts w:hint="eastAsia" w:ascii="宋体" w:hAnsi="宋体" w:eastAsia="宋体" w:cs="宋体"/>
          <w:sz w:val="28"/>
          <w:szCs w:val="28"/>
        </w:rPr>
        <w:t>双膦酸盐药物静脉应用时需注意急性期反应，发生率由高到低为唑来膦酸、帕米膦酸、伊班膦酸，可预防性或治疗性使用镇痛药物缓解，无需停药。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2、颌骨坏死的风险低：</w:t>
      </w:r>
      <w:r>
        <w:rPr>
          <w:rFonts w:hint="eastAsia" w:ascii="宋体" w:hAnsi="宋体" w:eastAsia="宋体" w:cs="宋体"/>
          <w:sz w:val="28"/>
          <w:szCs w:val="28"/>
        </w:rPr>
        <w:t>少数患者长期使用双膦酸盐后有发生颌骨坏死的风险，由高到低：唑来膦酸、帕米膦酸、阿仑膦酸、利塞膦酸、伊班膦酸。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3、肾脏毒性与安慰剂相似：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81915</wp:posOffset>
                </wp:positionV>
                <wp:extent cx="477520" cy="1433195"/>
                <wp:effectExtent l="0" t="0" r="17780" b="1524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672" cy="1433015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85pt;margin-top:6.45pt;height:112.85pt;width:37.6pt;z-index:251659264;mso-width-relative:page;mso-height-relative:page;" filled="f" stroked="t" coordsize="21600,21600" o:gfxdata="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KBrhxnYAAAACgEAAA8AAAAAAAAAAQAgAAAAIgAAAGRycy9kb3ducmV2LnhtbFBLAQIUABQAAAAI&#10;AIdO4kAkgi9HXwIAAKoEAAAOAAAAAAAAAAEAIAAAACcBAABkcnMvZTJvRG9jLnhtbFBLBQYAAAAA&#10;BgAGAFkBAAD4BQAAAAA=&#10;">
                <v:fill on="f" focussize="0,0"/>
                <v:stroke weight="1.25pt" color="#FF0000" joinstyle="round" dashstyle="dash"/>
                <v:imagedata o:title=""/>
                <o:lock v:ext="edit" aspectratio="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14998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伊班膦酸钠注射液肾脏毒性与安慰剂相似，具备良好的肾脏安全性。而其它静脉用双膦酸盐（如氯膦酸二钠、帕米膦酸二钠、唑来膦酸等）可能对肾脏造成不同程度的损伤。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二、伊班膦酸钠注射液可连续3天负荷剂量使用，快速缓解骨转移引起的严重骨痛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《中国临床肿瘤学会（CSCO）乳腺癌诊疗指南》、《中国抗癌协会乳腺癌诊治指南与规范》、《肺癌骨转移诊疗专家共识》以及《肾癌骨转移诊疗专家共识》共同推荐伊班膦酸钠注射液6mg/天、连续3天负荷剂量用药方案，可快速缓解骨转移引起的严重骨痛，同时减少阿片类药物使用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三、艾默坤</w:t>
      </w:r>
      <w:r>
        <w:rPr>
          <w:rFonts w:hint="eastAsia" w:ascii="宋体" w:hAnsi="宋体" w:eastAsia="宋体" w:cs="宋体"/>
          <w:b/>
          <w:bCs/>
          <w:sz w:val="28"/>
          <w:szCs w:val="28"/>
          <w:vertAlign w:val="superscript"/>
        </w:rPr>
        <w:t>®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伊班膦酸钠注射液具备良好的药物经济学价值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艾默坤</w:t>
      </w:r>
      <w:r>
        <w:rPr>
          <w:rFonts w:hint="eastAsia" w:ascii="宋体" w:hAnsi="宋体" w:eastAsia="宋体" w:cs="宋体"/>
          <w:sz w:val="28"/>
          <w:szCs w:val="28"/>
          <w:vertAlign w:val="superscript"/>
        </w:rPr>
        <w:t>®</w:t>
      </w:r>
      <w:r>
        <w:rPr>
          <w:rFonts w:hint="eastAsia" w:ascii="宋体" w:hAnsi="宋体" w:eastAsia="宋体" w:cs="宋体"/>
          <w:sz w:val="28"/>
          <w:szCs w:val="28"/>
        </w:rPr>
        <w:t>伊班膦酸钠注射液首家通过一致性评价，以最低价中选第七批国家集采，大大降低治疗费用，缓解国家医保支付压力。</w:t>
      </w:r>
    </w:p>
    <w:p>
      <w:pPr>
        <w:spacing w:line="360" w:lineRule="auto"/>
        <w:jc w:val="both"/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73040" cy="4670425"/>
            <wp:effectExtent l="0" t="0" r="3810" b="1587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67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双膦酸盐类药物作为治疗恶性肿瘤骨转移的基础用药，其疗效及安全性得到临床认可，相关不良反应可防可控，规范用药可使相关不良反应对患者的影响降到最小化，以获得更好的疗效，提高患者生活质量。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4033520" cy="2268220"/>
            <wp:effectExtent l="0" t="0" r="5080" b="17780"/>
            <wp:docPr id="4" name="图片 4" descr="艾默坤®伊班膦酸钠注射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艾默坤®伊班膦酸钠注射液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3520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2"/>
        </w:numPr>
        <w:spacing w:line="360" w:lineRule="auto"/>
        <w:ind w:left="440" w:hanging="560" w:hanging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《骨改良药物安全性管理专家共识》中华肿瘤杂志 2021年6月第43卷第6期. </w:t>
      </w:r>
    </w:p>
    <w:p>
      <w:pPr>
        <w:numPr>
          <w:ilvl w:val="0"/>
          <w:numId w:val="2"/>
        </w:numPr>
        <w:spacing w:line="360" w:lineRule="auto"/>
        <w:ind w:left="440" w:hanging="44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J Support Oncol. 2007 Nov-Dec;5(10):475-82. </w:t>
      </w:r>
    </w:p>
    <w:p>
      <w:pPr>
        <w:numPr>
          <w:ilvl w:val="0"/>
          <w:numId w:val="2"/>
        </w:numPr>
        <w:spacing w:line="360" w:lineRule="auto"/>
        <w:ind w:left="440" w:hanging="44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《肺癌骨转移诊疗专家共识》（2014版） 中国肺癌杂志2014年2月第17卷第2期</w:t>
      </w:r>
    </w:p>
    <w:p>
      <w:pPr>
        <w:numPr>
          <w:ilvl w:val="0"/>
          <w:numId w:val="2"/>
        </w:numPr>
        <w:spacing w:line="360" w:lineRule="auto"/>
        <w:ind w:left="440" w:hanging="560" w:hanging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米内网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S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-BZ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E000B9"/>
    <w:multiLevelType w:val="multilevel"/>
    <w:tmpl w:val="05E000B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2D1FF9"/>
    <w:multiLevelType w:val="singleLevel"/>
    <w:tmpl w:val="532D1FF9"/>
    <w:lvl w:ilvl="0" w:tentative="0">
      <w:start w:val="1"/>
      <w:numFmt w:val="decimal"/>
      <w:lvlText w:val="[%1]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0NDU4MDRlZjRjMTgyZDkwZWNlYTM3ZDllZmEyZjUifQ=="/>
  </w:docVars>
  <w:rsids>
    <w:rsidRoot w:val="002F120F"/>
    <w:rsid w:val="000B3BB7"/>
    <w:rsid w:val="000B501D"/>
    <w:rsid w:val="000B73BA"/>
    <w:rsid w:val="00130D38"/>
    <w:rsid w:val="001604FF"/>
    <w:rsid w:val="00183214"/>
    <w:rsid w:val="00195F76"/>
    <w:rsid w:val="001F6611"/>
    <w:rsid w:val="00235E24"/>
    <w:rsid w:val="0025615E"/>
    <w:rsid w:val="00277C9E"/>
    <w:rsid w:val="002F120F"/>
    <w:rsid w:val="00400D19"/>
    <w:rsid w:val="004272F6"/>
    <w:rsid w:val="004F2D9E"/>
    <w:rsid w:val="00547051"/>
    <w:rsid w:val="00556A1F"/>
    <w:rsid w:val="00564206"/>
    <w:rsid w:val="005D2B69"/>
    <w:rsid w:val="005D2E5F"/>
    <w:rsid w:val="005D66FC"/>
    <w:rsid w:val="005F5490"/>
    <w:rsid w:val="00614199"/>
    <w:rsid w:val="006742E5"/>
    <w:rsid w:val="007D1041"/>
    <w:rsid w:val="0084338C"/>
    <w:rsid w:val="00864520"/>
    <w:rsid w:val="008D3841"/>
    <w:rsid w:val="00927505"/>
    <w:rsid w:val="009D4E8E"/>
    <w:rsid w:val="00A3040A"/>
    <w:rsid w:val="00A4404E"/>
    <w:rsid w:val="00AD14E4"/>
    <w:rsid w:val="00B23A15"/>
    <w:rsid w:val="00B42606"/>
    <w:rsid w:val="00BE61E2"/>
    <w:rsid w:val="00BF7666"/>
    <w:rsid w:val="00C14C8D"/>
    <w:rsid w:val="00C2616E"/>
    <w:rsid w:val="00C4009C"/>
    <w:rsid w:val="00C514CD"/>
    <w:rsid w:val="00C850DB"/>
    <w:rsid w:val="00CE32AF"/>
    <w:rsid w:val="00CF7A0A"/>
    <w:rsid w:val="00D24DB1"/>
    <w:rsid w:val="00DB5654"/>
    <w:rsid w:val="00DC0719"/>
    <w:rsid w:val="00DE5FC5"/>
    <w:rsid w:val="00E31F56"/>
    <w:rsid w:val="00ED542E"/>
    <w:rsid w:val="00EE2430"/>
    <w:rsid w:val="00F50011"/>
    <w:rsid w:val="00F7494F"/>
    <w:rsid w:val="00FA7ECA"/>
    <w:rsid w:val="00FB29C2"/>
    <w:rsid w:val="00FC7C85"/>
    <w:rsid w:val="04283349"/>
    <w:rsid w:val="09991506"/>
    <w:rsid w:val="18005EDE"/>
    <w:rsid w:val="2F8A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批注框文本 字符"/>
    <w:basedOn w:val="6"/>
    <w:link w:val="2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11">
    <w:name w:val="fontstyle01"/>
    <w:basedOn w:val="6"/>
    <w:qFormat/>
    <w:uiPriority w:val="0"/>
    <w:rPr>
      <w:rFonts w:hint="default" w:ascii="FZSSK--GBK1-0" w:hAnsi="FZSSK--GBK1-0"/>
      <w:color w:val="000000"/>
      <w:sz w:val="22"/>
      <w:szCs w:val="22"/>
    </w:rPr>
  </w:style>
  <w:style w:type="character" w:customStyle="1" w:styleId="12">
    <w:name w:val="fontstyle21"/>
    <w:basedOn w:val="6"/>
    <w:qFormat/>
    <w:uiPriority w:val="0"/>
    <w:rPr>
      <w:rFonts w:hint="default" w:ascii="E-BZ" w:hAnsi="E-BZ"/>
      <w:color w:val="000000"/>
      <w:sz w:val="22"/>
      <w:szCs w:val="22"/>
    </w:rPr>
  </w:style>
  <w:style w:type="character" w:customStyle="1" w:styleId="13">
    <w:name w:val="fontstyle11"/>
    <w:basedOn w:val="6"/>
    <w:qFormat/>
    <w:uiPriority w:val="0"/>
    <w:rPr>
      <w:rFonts w:hint="default" w:ascii="E-BZ" w:hAnsi="E-BZ"/>
      <w:color w:val="000000"/>
      <w:sz w:val="22"/>
      <w:szCs w:val="2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976</Words>
  <Characters>1034</Characters>
  <Lines>9</Lines>
  <Paragraphs>2</Paragraphs>
  <TotalTime>320</TotalTime>
  <ScaleCrop>false</ScaleCrop>
  <LinksUpToDate>false</LinksUpToDate>
  <CharactersWithSpaces>1042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2023-01-11T01:38:00Z</dcterms:created>
  <dc:creator>ydxz018</dc:creator>
  <cp:lastModifiedBy>220236</cp:lastModifiedBy>
  <dcterms:modified xsi:type="dcterms:W3CDTF">2023-02-02T06:18:29Z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1CE4CCB06EFC4D188BB2FC37C6468EB0</vt:lpwstr>
  </property>
</Properties>
</file>