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OLE_LINK39"/>
      <w:bookmarkStart w:id="2" w:name="_Toc415143481"/>
      <w:bookmarkStart w:id="3" w:name="_Toc415142861"/>
      <w:bookmarkStart w:id="4" w:name="_Toc481801204"/>
      <w:bookmarkStart w:id="5" w:name="_Toc453597319"/>
      <w:bookmarkStart w:id="6" w:name="_Toc418070112"/>
      <w:bookmarkStart w:id="7" w:name="_Toc517262917"/>
      <w:bookmarkStart w:id="8" w:name="_Toc438987549"/>
      <w:bookmarkStart w:id="9" w:name="_Toc415818939"/>
      <w:bookmarkStart w:id="10" w:name="OLE_LINK13"/>
      <w:bookmarkStart w:id="11" w:name="OLE_LINK15"/>
      <w:bookmarkStart w:id="12" w:name="OLE_LINK24"/>
      <w:bookmarkStart w:id="13" w:name="_Hlk23501351"/>
      <w:r>
        <w:rPr>
          <w:sz w:val="24"/>
        </w:rPr>
        <mc:AlternateContent>
          <mc:Choice Requires="wps">
            <w:drawing>
              <wp:anchor distT="0" distB="0" distL="114300" distR="114300" simplePos="0" relativeHeight="251661312" behindDoc="0" locked="0" layoutInCell="1" allowOverlap="1">
                <wp:simplePos x="0" y="0"/>
                <wp:positionH relativeFrom="column">
                  <wp:posOffset>255905</wp:posOffset>
                </wp:positionH>
                <wp:positionV relativeFrom="paragraph">
                  <wp:posOffset>1416050</wp:posOffset>
                </wp:positionV>
                <wp:extent cx="5761990" cy="2085975"/>
                <wp:effectExtent l="0" t="0" r="10160" b="9525"/>
                <wp:wrapNone/>
                <wp:docPr id="56" name="文本框 56"/>
                <wp:cNvGraphicFramePr/>
                <a:graphic xmlns:a="http://schemas.openxmlformats.org/drawingml/2006/main">
                  <a:graphicData uri="http://schemas.microsoft.com/office/word/2010/wordprocessingShape">
                    <wps:wsp>
                      <wps:cNvSpPr txBox="1"/>
                      <wps:spPr>
                        <a:xfrm>
                          <a:off x="1651635" y="2068195"/>
                          <a:ext cx="5761990" cy="20859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widowControl/>
                              <w:topLinePunct w:val="0"/>
                              <w:jc w:val="center"/>
                              <w:rPr>
                                <w:rFonts w:hint="eastAsia" w:ascii="宋体" w:hAnsi="宋体" w:cs="宋体"/>
                                <w:sz w:val="72"/>
                                <w:szCs w:val="72"/>
                                <w:lang w:val="en-US" w:eastAsia="zh-CN"/>
                              </w:rPr>
                            </w:pPr>
                            <w:r>
                              <w:rPr>
                                <w:rFonts w:hint="eastAsia" w:ascii="宋体" w:hAnsi="宋体" w:cs="宋体"/>
                                <w:sz w:val="72"/>
                                <w:szCs w:val="72"/>
                                <w:lang w:val="en-US" w:eastAsia="zh-CN"/>
                              </w:rPr>
                              <w:t>全球及中国工业用乙氧基硅烷</w:t>
                            </w:r>
                            <w:r>
                              <w:rPr>
                                <w:rFonts w:hint="eastAsia" w:ascii="宋体" w:hAnsi="宋体" w:cs="宋体"/>
                                <w:sz w:val="72"/>
                                <w:szCs w:val="72"/>
                                <w:lang w:val="en-US" w:eastAsia="zh-CN"/>
                              </w:rPr>
                              <w:fldChar w:fldCharType="begin"/>
                            </w:r>
                            <w:r>
                              <w:rPr>
                                <w:rFonts w:hint="eastAsia" w:ascii="宋体" w:hAnsi="宋体" w:cs="宋体"/>
                                <w:sz w:val="72"/>
                                <w:szCs w:val="72"/>
                                <w:lang w:val="en-US" w:eastAsia="zh-CN"/>
                              </w:rPr>
                              <w:instrText xml:space="preserve"> HYPERLINK "https://www.renrendoc.com/paper/299540813.html" \t "https://www.renrendoc.com/renrendoc_v1/MCBookList/_blank" </w:instrText>
                            </w:r>
                            <w:r>
                              <w:rPr>
                                <w:rFonts w:hint="eastAsia" w:ascii="宋体" w:hAnsi="宋体" w:cs="宋体"/>
                                <w:sz w:val="72"/>
                                <w:szCs w:val="72"/>
                                <w:lang w:val="en-US" w:eastAsia="zh-CN"/>
                              </w:rPr>
                              <w:fldChar w:fldCharType="separate"/>
                            </w:r>
                            <w:r>
                              <w:rPr>
                                <w:rFonts w:hint="eastAsia" w:ascii="宋体" w:hAnsi="宋体" w:cs="宋体"/>
                                <w:sz w:val="72"/>
                                <w:szCs w:val="72"/>
                                <w:lang w:val="en-US" w:eastAsia="zh-CN"/>
                              </w:rPr>
                              <w:t>行业市场份额调研报告</w:t>
                            </w:r>
                            <w:r>
                              <w:rPr>
                                <w:rFonts w:hint="eastAsia" w:ascii="宋体" w:hAnsi="宋体" w:cs="宋体"/>
                                <w:sz w:val="72"/>
                                <w:szCs w:val="72"/>
                                <w:lang w:val="en-US" w:eastAsia="zh-CN"/>
                              </w:rPr>
                              <w:fldChar w:fldCharType="end"/>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5pt;margin-top:111.5pt;height:164.25pt;width:453.7pt;z-index:251661312;mso-width-relative:page;mso-height-relative:page;" fillcolor="#FFFFFF [3201]" filled="t" stroked="f" coordsize="21600,21600" o:gfxdata="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jdK&#10;yNYAAAAKAQAADwAAAAAAAAABACAAAAAiAAAAZHJzL2Rvd25yZXYueG1sUEsBAhQAFAAAAAgAh07i&#10;QP3dSoldAgAAngQAAA4AAAAAAAAAAQAgAAAAJQEAAGRycy9lMm9Eb2MueG1sUEsFBgAAAAAGAAYA&#10;WQEAAPQFAAAAAA==&#10;">
                <v:fill on="t" focussize="0,0"/>
                <v:stroke on="f" weight="0.5pt"/>
                <v:imagedata o:title=""/>
                <o:lock v:ext="edit" aspectratio="f"/>
                <v:textbox>
                  <w:txbxContent>
                    <w:p>
                      <w:pPr>
                        <w:widowControl/>
                        <w:topLinePunct w:val="0"/>
                        <w:jc w:val="center"/>
                        <w:rPr>
                          <w:rFonts w:hint="eastAsia" w:ascii="宋体" w:hAnsi="宋体" w:cs="宋体"/>
                          <w:sz w:val="72"/>
                          <w:szCs w:val="72"/>
                          <w:lang w:val="en-US" w:eastAsia="zh-CN"/>
                        </w:rPr>
                      </w:pPr>
                      <w:r>
                        <w:rPr>
                          <w:rFonts w:hint="eastAsia" w:ascii="宋体" w:hAnsi="宋体" w:cs="宋体"/>
                          <w:sz w:val="72"/>
                          <w:szCs w:val="72"/>
                          <w:lang w:val="en-US" w:eastAsia="zh-CN"/>
                        </w:rPr>
                        <w:t>全球及中国工业用乙氧基硅烷</w:t>
                      </w:r>
                      <w:r>
                        <w:rPr>
                          <w:rFonts w:hint="eastAsia" w:ascii="宋体" w:hAnsi="宋体" w:cs="宋体"/>
                          <w:sz w:val="72"/>
                          <w:szCs w:val="72"/>
                          <w:lang w:val="en-US" w:eastAsia="zh-CN"/>
                        </w:rPr>
                        <w:fldChar w:fldCharType="begin"/>
                      </w:r>
                      <w:r>
                        <w:rPr>
                          <w:rFonts w:hint="eastAsia" w:ascii="宋体" w:hAnsi="宋体" w:cs="宋体"/>
                          <w:sz w:val="72"/>
                          <w:szCs w:val="72"/>
                          <w:lang w:val="en-US" w:eastAsia="zh-CN"/>
                        </w:rPr>
                        <w:instrText xml:space="preserve"> HYPERLINK "https://www.renrendoc.com/paper/299540813.html" \t "https://www.renrendoc.com/renrendoc_v1/MCBookList/_blank" </w:instrText>
                      </w:r>
                      <w:r>
                        <w:rPr>
                          <w:rFonts w:hint="eastAsia" w:ascii="宋体" w:hAnsi="宋体" w:cs="宋体"/>
                          <w:sz w:val="72"/>
                          <w:szCs w:val="72"/>
                          <w:lang w:val="en-US" w:eastAsia="zh-CN"/>
                        </w:rPr>
                        <w:fldChar w:fldCharType="separate"/>
                      </w:r>
                      <w:r>
                        <w:rPr>
                          <w:rFonts w:hint="eastAsia" w:ascii="宋体" w:hAnsi="宋体" w:cs="宋体"/>
                          <w:sz w:val="72"/>
                          <w:szCs w:val="72"/>
                          <w:lang w:val="en-US" w:eastAsia="zh-CN"/>
                        </w:rPr>
                        <w:t>行业市场份额调研报告</w:t>
                      </w:r>
                      <w:r>
                        <w:rPr>
                          <w:rFonts w:hint="eastAsia" w:ascii="宋体" w:hAnsi="宋体" w:cs="宋体"/>
                          <w:sz w:val="72"/>
                          <w:szCs w:val="72"/>
                          <w:lang w:val="en-US" w:eastAsia="zh-CN"/>
                        </w:rPr>
                        <w:fldChar w:fldCharType="end"/>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7"/>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rPr>
          <w:rFonts w:hint="eastAsia"/>
          <w:lang w:eastAsia="zh-CN"/>
        </w:rPr>
      </w:pPr>
      <w:r>
        <w:rPr>
          <w:rFonts w:hint="eastAsia"/>
          <w:lang w:eastAsia="zh-CN"/>
        </w:rPr>
        <w:t>原硅酸四乙酯，正式名称为四乙氧基硅烷(TEOS)，硅酸乙酯是一种有机化合物，化学式为Si(OC2H5)4。 TEOS 是一种无色液体，它在水中降解。TEOS 是原硅酸 Si(OH)4 的乙酯，它是最常见的硅醇盐。</w:t>
      </w:r>
    </w:p>
    <w:p>
      <w:pPr>
        <w:pStyle w:val="145"/>
        <w:rPr>
          <w:lang w:eastAsia="zh-CN"/>
        </w:rPr>
      </w:pPr>
      <w:r>
        <w:rPr>
          <w:rFonts w:hint="eastAsia"/>
          <w:lang w:eastAsia="zh-CN"/>
        </w:rPr>
        <w:t>由原硅酸四乙酯制成的产品的最终用途会有所不同。在涂料中，原硅酸四乙酯可提高硬度以及耐刮擦性、耐高温溶剂性和耐酸性；典型工业用途的例子是汽车修补和饮料罐涂层；专业和消费者用途包括油漆、木材和金属底漆以及着色剂和清漆。在密封剂中，原硅酸四乙酯在密封剂制造和密封剂应用过程中用作交联剂和粘合促进剂，密封剂的使用广泛用于各种工业、专业和消费终端用途，包括建筑和汽车工业。原硅酸四乙酯还用于非金属和金属颜料表面处理、半导体制造、砖石、模具制备以及作为实验室化学品，大多数用途利用该物质的交联能力。</w:t>
      </w:r>
    </w:p>
    <w:p>
      <w:pPr>
        <w:pStyle w:val="145"/>
        <w:rPr>
          <w:lang w:eastAsia="zh-CN"/>
        </w:rPr>
      </w:pPr>
      <w:r>
        <w:rPr>
          <w:rFonts w:hint="eastAsia"/>
          <w:lang w:eastAsia="zh-CN"/>
        </w:rPr>
        <w:t>根据最新调研报告显示，预计2</w:t>
      </w:r>
      <w:r>
        <w:rPr>
          <w:lang w:eastAsia="zh-CN"/>
        </w:rPr>
        <w:t>029</w:t>
      </w:r>
      <w:r>
        <w:rPr>
          <w:rFonts w:hint="eastAsia"/>
          <w:lang w:eastAsia="zh-CN"/>
        </w:rPr>
        <w:t>年全球</w:t>
      </w:r>
      <w:r>
        <w:rPr>
          <w:lang w:eastAsia="zh-CN"/>
        </w:rPr>
        <w:t>工业用乙氧基硅烷</w:t>
      </w:r>
      <w:r>
        <w:rPr>
          <w:rFonts w:hint="eastAsia"/>
          <w:lang w:eastAsia="zh-CN"/>
        </w:rPr>
        <w:t>市场规模将达到</w:t>
      </w:r>
      <w:r>
        <w:rPr>
          <w:lang w:eastAsia="zh-CN"/>
        </w:rPr>
        <w:t>3.38</w:t>
      </w:r>
      <w:r>
        <w:rPr>
          <w:rFonts w:hint="eastAsia"/>
          <w:lang w:eastAsia="zh-CN"/>
        </w:rPr>
        <w:t>亿美元，未来几年年复合增长率CAGR为</w:t>
      </w:r>
      <w:r>
        <w:rPr>
          <w:lang w:eastAsia="zh-CN"/>
        </w:rPr>
        <w:t>6.59</w:t>
      </w:r>
      <w:r>
        <w:rPr>
          <w:rFonts w:hint="eastAsia"/>
          <w:lang w:eastAsia="zh-CN"/>
        </w:rPr>
        <w:t>%。</w:t>
      </w:r>
    </w:p>
    <w:p>
      <w:pPr>
        <w:pStyle w:val="148"/>
        <w:rPr>
          <w:lang w:eastAsia="zh-CN"/>
        </w:rPr>
      </w:pPr>
      <w:r>
        <w:rPr>
          <w:rFonts w:hint="eastAsia"/>
          <w:lang w:eastAsia="zh-CN"/>
        </w:rPr>
        <w:t>工业用乙氧基硅烷产品</w:t>
      </w:r>
    </w:p>
    <w:p>
      <w:pPr>
        <w:pStyle w:val="145"/>
        <w:rPr>
          <w:lang w:eastAsia="zh-CN"/>
        </w:rPr>
      </w:pPr>
      <w:r>
        <w:drawing>
          <wp:inline distT="0" distB="0" distL="0" distR="0">
            <wp:extent cx="1837055" cy="2234565"/>
            <wp:effectExtent l="0" t="0" r="10795" b="13335"/>
            <wp:docPr id="7716145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614506" name="图片 1"/>
                    <pic:cNvPicPr>
                      <a:picLocks noChangeAspect="1"/>
                    </pic:cNvPicPr>
                  </pic:nvPicPr>
                  <pic:blipFill>
                    <a:blip r:embed="rId8"/>
                    <a:stretch>
                      <a:fillRect/>
                    </a:stretch>
                  </pic:blipFill>
                  <pic:spPr>
                    <a:xfrm>
                      <a:off x="0" y="0"/>
                      <a:ext cx="1837253" cy="2235183"/>
                    </a:xfrm>
                    <a:prstGeom prst="rect">
                      <a:avLst/>
                    </a:prstGeom>
                  </pic:spPr>
                </pic:pic>
              </a:graphicData>
            </a:graphic>
          </wp:inline>
        </w:drawing>
      </w:r>
    </w:p>
    <w:p>
      <w:pPr>
        <w:pStyle w:val="148"/>
        <w:rPr>
          <w:lang w:eastAsia="zh-CN"/>
        </w:rPr>
      </w:pPr>
      <w:r>
        <w:rPr>
          <w:lang w:eastAsia="zh-CN"/>
        </w:rPr>
        <w:t>工业用乙氧基硅烷</w:t>
      </w:r>
      <w:r>
        <w:rPr>
          <w:rFonts w:hint="eastAsia"/>
          <w:lang w:eastAsia="zh-CN"/>
        </w:rPr>
        <w:t>，全球市场总体规模</w:t>
      </w:r>
    </w:p>
    <w:p>
      <w:pPr>
        <w:pStyle w:val="145"/>
      </w:pPr>
      <w:r>
        <w:drawing>
          <wp:inline distT="0" distB="0" distL="0" distR="0">
            <wp:extent cx="6218555" cy="2976245"/>
            <wp:effectExtent l="0" t="0" r="10795" b="14605"/>
            <wp:docPr id="11733919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39193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230499" cy="2982077"/>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工业用乙氧基硅烷</w:t>
      </w:r>
      <w:r>
        <w:rPr>
          <w:rFonts w:hint="eastAsia"/>
          <w:lang w:eastAsia="zh-CN"/>
        </w:rPr>
        <w:t>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1.</w:t>
      </w:r>
      <w:r>
        <w:rPr>
          <w:rFonts w:hint="eastAsia"/>
          <w:lang w:eastAsia="zh-CN"/>
        </w:rPr>
        <w:tab/>
      </w:r>
      <w:r>
        <w:rPr>
          <w:rFonts w:hint="eastAsia"/>
          <w:lang w:eastAsia="zh-CN"/>
        </w:rPr>
        <w:t>下游产业持续增长</w:t>
      </w:r>
    </w:p>
    <w:p>
      <w:pPr>
        <w:pStyle w:val="145"/>
        <w:rPr>
          <w:rFonts w:hint="eastAsia"/>
          <w:lang w:eastAsia="zh-CN"/>
        </w:rPr>
      </w:pPr>
      <w:r>
        <w:rPr>
          <w:rFonts w:hint="eastAsia"/>
          <w:lang w:eastAsia="zh-CN"/>
        </w:rPr>
        <w:t>2.</w:t>
      </w:r>
      <w:r>
        <w:rPr>
          <w:rFonts w:hint="eastAsia"/>
          <w:lang w:eastAsia="zh-CN"/>
        </w:rPr>
        <w:tab/>
      </w:r>
      <w:r>
        <w:rPr>
          <w:rFonts w:hint="eastAsia"/>
          <w:lang w:eastAsia="zh-CN"/>
        </w:rPr>
        <w:t>亚太地区经济快速复苏</w:t>
      </w:r>
    </w:p>
    <w:p>
      <w:pPr>
        <w:pStyle w:val="145"/>
        <w:rPr>
          <w:rFonts w:hint="eastAsia"/>
          <w:lang w:eastAsia="zh-CN"/>
        </w:rPr>
      </w:pPr>
      <w:r>
        <w:rPr>
          <w:rFonts w:hint="eastAsia"/>
          <w:lang w:eastAsia="zh-CN"/>
        </w:rPr>
        <w:t>3.</w:t>
      </w:r>
      <w:r>
        <w:rPr>
          <w:rFonts w:hint="eastAsia"/>
          <w:lang w:eastAsia="zh-CN"/>
        </w:rPr>
        <w:tab/>
      </w:r>
      <w:r>
        <w:rPr>
          <w:rFonts w:hint="eastAsia"/>
          <w:lang w:eastAsia="zh-CN"/>
        </w:rPr>
        <w:t>各国政府财政政策宽松，企业利率、税率较低</w:t>
      </w:r>
    </w:p>
    <w:p>
      <w:pPr>
        <w:pStyle w:val="145"/>
        <w:rPr>
          <w:lang w:eastAsia="zh-CN"/>
        </w:rPr>
      </w:pPr>
    </w:p>
    <w:p>
      <w:pPr>
        <w:pStyle w:val="145"/>
        <w:rPr>
          <w:rFonts w:hint="eastAsia"/>
          <w:lang w:eastAsia="zh-CN"/>
        </w:rPr>
      </w:pPr>
      <w:r>
        <w:rPr>
          <w:rFonts w:hint="eastAsia"/>
          <w:lang w:eastAsia="zh-CN"/>
        </w:rPr>
        <w:t>主要阻碍因素:</w:t>
      </w:r>
    </w:p>
    <w:p>
      <w:pPr>
        <w:pStyle w:val="145"/>
        <w:rPr>
          <w:rFonts w:hint="eastAsia"/>
          <w:lang w:eastAsia="zh-CN"/>
        </w:rPr>
      </w:pPr>
      <w:r>
        <w:rPr>
          <w:rFonts w:hint="eastAsia"/>
          <w:lang w:eastAsia="zh-CN"/>
        </w:rPr>
        <w:t>1.</w:t>
      </w:r>
      <w:r>
        <w:rPr>
          <w:rFonts w:hint="eastAsia"/>
          <w:lang w:eastAsia="zh-CN"/>
        </w:rPr>
        <w:tab/>
      </w:r>
      <w:r>
        <w:rPr>
          <w:rFonts w:hint="eastAsia"/>
          <w:lang w:eastAsia="zh-CN"/>
        </w:rPr>
        <w:t>通货膨胀与外部环境变化</w:t>
      </w:r>
    </w:p>
    <w:p>
      <w:pPr>
        <w:pStyle w:val="145"/>
        <w:rPr>
          <w:rFonts w:hint="eastAsia"/>
          <w:lang w:eastAsia="zh-CN"/>
        </w:rPr>
      </w:pPr>
      <w:r>
        <w:rPr>
          <w:rFonts w:hint="eastAsia"/>
          <w:lang w:eastAsia="zh-CN"/>
        </w:rPr>
        <w:t>2.</w:t>
      </w:r>
      <w:r>
        <w:rPr>
          <w:rFonts w:hint="eastAsia"/>
          <w:lang w:eastAsia="zh-CN"/>
        </w:rPr>
        <w:tab/>
      </w:r>
      <w:r>
        <w:rPr>
          <w:rFonts w:hint="eastAsia"/>
          <w:lang w:eastAsia="zh-CN"/>
        </w:rPr>
        <w:t>原材料和能源价格波动</w:t>
      </w:r>
    </w:p>
    <w:p>
      <w:pPr>
        <w:pStyle w:val="145"/>
        <w:rPr>
          <w:rFonts w:hint="eastAsia"/>
          <w:lang w:eastAsia="zh-CN"/>
        </w:rPr>
      </w:pPr>
      <w:r>
        <w:rPr>
          <w:rFonts w:hint="eastAsia"/>
          <w:lang w:eastAsia="zh-CN"/>
        </w:rPr>
        <w:t>3.</w:t>
      </w:r>
      <w:r>
        <w:rPr>
          <w:rFonts w:hint="eastAsia"/>
          <w:lang w:eastAsia="zh-CN"/>
        </w:rPr>
        <w:tab/>
      </w:r>
      <w:r>
        <w:rPr>
          <w:rFonts w:hint="eastAsia"/>
          <w:lang w:eastAsia="zh-CN"/>
        </w:rPr>
        <w:t>市场竞争加剧</w:t>
      </w:r>
    </w:p>
    <w:p>
      <w:pPr>
        <w:pStyle w:val="145"/>
        <w:rPr>
          <w:lang w:eastAsia="zh-CN"/>
        </w:rPr>
      </w:pPr>
    </w:p>
    <w:p>
      <w:pPr>
        <w:pStyle w:val="145"/>
        <w:rPr>
          <w:rFonts w:hint="eastAsia"/>
          <w:lang w:eastAsia="zh-CN"/>
        </w:rPr>
      </w:pPr>
      <w:r>
        <w:rPr>
          <w:rFonts w:hint="eastAsia"/>
          <w:lang w:eastAsia="zh-CN"/>
        </w:rPr>
        <w:t>行业发展机遇:</w:t>
      </w:r>
    </w:p>
    <w:p>
      <w:pPr>
        <w:pStyle w:val="145"/>
        <w:rPr>
          <w:rFonts w:hint="eastAsia"/>
          <w:lang w:eastAsia="zh-CN"/>
        </w:rPr>
      </w:pPr>
      <w:r>
        <w:rPr>
          <w:rFonts w:hint="eastAsia"/>
          <w:lang w:eastAsia="zh-CN"/>
        </w:rPr>
        <w:t>1.</w:t>
      </w:r>
      <w:r>
        <w:rPr>
          <w:rFonts w:hint="eastAsia"/>
          <w:lang w:eastAsia="zh-CN"/>
        </w:rPr>
        <w:tab/>
      </w:r>
      <w:r>
        <w:rPr>
          <w:rFonts w:hint="eastAsia"/>
          <w:lang w:eastAsia="zh-CN"/>
        </w:rPr>
        <w:t>建筑材料和涂料工业：四烷氧基硅烷可用作建筑材料中的硅橡胶、密封剂、涂料和涂层的原料。这些材料具有耐候性、耐高温和化学稳定性等特性，因此在建筑行业有着广泛的应用前景。</w:t>
      </w:r>
    </w:p>
    <w:p>
      <w:pPr>
        <w:pStyle w:val="145"/>
        <w:rPr>
          <w:lang w:eastAsia="zh-CN"/>
        </w:rPr>
      </w:pPr>
      <w:r>
        <w:rPr>
          <w:rFonts w:hint="eastAsia"/>
          <w:lang w:eastAsia="zh-CN"/>
        </w:rPr>
        <w:t>2.</w:t>
      </w:r>
      <w:r>
        <w:rPr>
          <w:rFonts w:hint="eastAsia"/>
          <w:lang w:eastAsia="zh-CN"/>
        </w:rPr>
        <w:tab/>
      </w:r>
      <w:r>
        <w:rPr>
          <w:rFonts w:hint="eastAsia"/>
          <w:lang w:eastAsia="zh-CN"/>
        </w:rPr>
        <w:t>电子行业：在电子领域，四烷氧基硅烷可用于制备微电子设备和晶体管中的绝缘层、绝缘材料和介质。随着电子行业的不断发展，对高性能绝缘材料的需求增加，可能为该化合物提供更多机遇。</w:t>
      </w:r>
    </w:p>
    <w:p>
      <w:pPr>
        <w:widowControl/>
        <w:topLinePunct w:val="0"/>
        <w:spacing w:after="0"/>
        <w:jc w:val="left"/>
        <w:rPr>
          <w:rFonts w:hint="eastAsia"/>
          <w:color w:val="0D0D0D" w:themeColor="text1" w:themeTint="F2"/>
          <w:kern w:val="0"/>
          <w:szCs w:val="22"/>
          <w:lang w:val="en-IN"/>
          <w14:textFill>
            <w14:solidFill>
              <w14:schemeClr w14:val="tx1">
                <w14:lumMod w14:val="95000"/>
                <w14:lumOff w14:val="5000"/>
              </w14:schemeClr>
            </w14:solidFill>
          </w14:textFill>
        </w:rPr>
      </w:pPr>
      <w:r>
        <w:br w:type="page"/>
      </w:r>
    </w:p>
    <w:p>
      <w:pPr>
        <w:pStyle w:val="148"/>
        <w:rPr>
          <w:lang w:eastAsia="zh-CN"/>
        </w:rPr>
      </w:pPr>
      <w:r>
        <w:rPr>
          <w:rFonts w:hint="eastAsia"/>
          <w:lang w:eastAsia="zh-CN"/>
        </w:rPr>
        <w:t>全球</w:t>
      </w:r>
      <w:r>
        <w:rPr>
          <w:lang w:eastAsia="zh-CN"/>
        </w:rPr>
        <w:t>工业用乙氧基硅烷</w:t>
      </w:r>
      <w:r>
        <w:rPr>
          <w:rFonts w:hint="eastAsia"/>
          <w:lang w:eastAsia="zh-CN"/>
        </w:rPr>
        <w:t>市场前十强生产商排名及市场占有率（持续更新）</w:t>
      </w:r>
    </w:p>
    <w:p>
      <w:pPr>
        <w:widowControl/>
        <w:topLinePunct w:val="0"/>
        <w:spacing w:after="0"/>
        <w:jc w:val="center"/>
        <w:rPr>
          <w:rFonts w:ascii="宋体" w:hAnsi="宋体" w:cs="宋体"/>
          <w:kern w:val="0"/>
          <w:sz w:val="24"/>
          <w:szCs w:val="24"/>
        </w:rPr>
      </w:pPr>
      <w:r>
        <w:rPr>
          <w:rFonts w:ascii="宋体" w:hAnsi="宋体" w:cs="宋体"/>
          <w:kern w:val="0"/>
          <w:sz w:val="24"/>
          <w:szCs w:val="24"/>
        </w:rPr>
        <w:drawing>
          <wp:inline distT="0" distB="0" distL="0" distR="0">
            <wp:extent cx="4578350" cy="4109085"/>
            <wp:effectExtent l="0" t="0" r="12700" b="5715"/>
            <wp:docPr id="69612663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126633"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578350" cy="410908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工业用乙氧基硅烷</w:t>
      </w:r>
      <w:r>
        <w:rPr>
          <w:rFonts w:hint="eastAsia"/>
          <w:lang w:eastAsia="zh-CN"/>
        </w:rPr>
        <w:t>市场研究报告2023-2029</w:t>
      </w:r>
      <w:r>
        <w:rPr>
          <w:lang w:eastAsia="zh-CN"/>
        </w:rPr>
        <w:t>.</w:t>
      </w:r>
    </w:p>
    <w:p>
      <w:pPr>
        <w:pStyle w:val="145"/>
        <w:rPr>
          <w:lang w:eastAsia="zh-CN"/>
        </w:rPr>
      </w:pPr>
      <w:r>
        <w:rPr>
          <w:rFonts w:hint="eastAsia"/>
          <w:lang w:eastAsia="zh-CN"/>
        </w:rPr>
        <w:t>全球范围内四烷氧基硅烷生产商主要包括赢创、瓦克化学、湖北江瀚新材料、陶氏、信越化学、南通索吉尔化学、江西晨光新材料、迈图、江西宏柏新材料、湖北新蓝天新材料等。2022年，全球前五大厂商占有大约4</w:t>
      </w:r>
      <w:r>
        <w:rPr>
          <w:lang w:eastAsia="zh-CN"/>
        </w:rPr>
        <w:t>8.6</w:t>
      </w:r>
      <w:r>
        <w:rPr>
          <w:rFonts w:hint="eastAsia"/>
          <w:lang w:eastAsia="zh-CN"/>
        </w:rPr>
        <w:t>%的市场份额。</w:t>
      </w:r>
    </w:p>
    <w:p>
      <w:pPr>
        <w:widowControl/>
        <w:topLinePunct w:val="0"/>
        <w:spacing w:after="0"/>
        <w:jc w:val="left"/>
        <w:rPr>
          <w:rFonts w:hint="eastAsia"/>
          <w:color w:val="0D0D0D" w:themeColor="text1" w:themeTint="F2"/>
          <w:kern w:val="0"/>
          <w:szCs w:val="22"/>
          <w:lang w:val="en-IN"/>
          <w14:textFill>
            <w14:solidFill>
              <w14:schemeClr w14:val="tx1">
                <w14:lumMod w14:val="95000"/>
                <w14:lumOff w14:val="5000"/>
              </w14:schemeClr>
            </w14:solidFill>
          </w14:textFill>
        </w:rPr>
      </w:pPr>
      <w:r>
        <w:br w:type="page"/>
      </w:r>
    </w:p>
    <w:p>
      <w:pPr>
        <w:pStyle w:val="148"/>
        <w:rPr>
          <w:lang w:eastAsia="zh-CN"/>
        </w:rPr>
      </w:pPr>
      <w:r>
        <w:rPr>
          <w:lang w:eastAsia="zh-CN"/>
        </w:rPr>
        <w:t>工业用乙氧基硅烷</w:t>
      </w:r>
      <w:r>
        <w:rPr>
          <w:rFonts w:hint="eastAsia"/>
          <w:lang w:eastAsia="zh-CN"/>
        </w:rPr>
        <w:t>，全球市场规模，按产品类型细分，工业级处于主导地位</w:t>
      </w:r>
    </w:p>
    <w:p>
      <w:pPr>
        <w:pStyle w:val="145"/>
        <w:rPr>
          <w:lang w:eastAsia="zh-CN"/>
        </w:rPr>
      </w:pPr>
      <w:r>
        <w:rPr>
          <w:lang w:eastAsia="zh-CN"/>
        </w:rPr>
        <w:drawing>
          <wp:inline distT="0" distB="0" distL="0" distR="0">
            <wp:extent cx="6226810" cy="2860040"/>
            <wp:effectExtent l="0" t="0" r="2540" b="16510"/>
            <wp:docPr id="214742427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424277"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238669" cy="2865484"/>
                    </a:xfrm>
                    <a:prstGeom prst="rect">
                      <a:avLst/>
                    </a:prstGeom>
                    <a:noFill/>
                  </pic:spPr>
                </pic:pic>
              </a:graphicData>
            </a:graphic>
          </wp:inline>
        </w:drawing>
      </w:r>
    </w:p>
    <w:p>
      <w:pPr>
        <w:pStyle w:val="145"/>
        <w:rPr>
          <w:lang w:eastAsia="zh-CN"/>
        </w:rPr>
      </w:pPr>
    </w:p>
    <w:p>
      <w:pPr>
        <w:pStyle w:val="143"/>
        <w:rPr>
          <w:lang w:eastAsia="zh-CN"/>
        </w:rPr>
      </w:pPr>
      <w:r>
        <w:rPr>
          <w:rFonts w:hint="eastAsia"/>
          <w:lang w:eastAsia="zh-CN"/>
        </w:rPr>
        <w:t>如上图表/数据，摘自QYResearch最新报告“全球</w:t>
      </w:r>
      <w:r>
        <w:rPr>
          <w:lang w:eastAsia="zh-CN"/>
        </w:rPr>
        <w:t>工业用乙氧基硅烷</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就产品类型而言，目前工业级是最主要的细分产品，占据大约</w:t>
      </w:r>
      <w:r>
        <w:rPr>
          <w:lang w:eastAsia="zh-CN"/>
        </w:rPr>
        <w:t>89.1</w:t>
      </w:r>
      <w:r>
        <w:rPr>
          <w:rFonts w:hint="eastAsia"/>
          <w:lang w:eastAsia="zh-CN"/>
        </w:rPr>
        <w:t>%的份额。</w:t>
      </w:r>
    </w:p>
    <w:p>
      <w:pPr>
        <w:widowControl/>
        <w:topLinePunct w:val="0"/>
        <w:spacing w:after="0"/>
        <w:jc w:val="left"/>
        <w:rPr>
          <w:rFonts w:hint="eastAsia"/>
          <w:color w:val="0D0D0D" w:themeColor="text1" w:themeTint="F2"/>
          <w:kern w:val="0"/>
          <w:szCs w:val="22"/>
          <w:lang w:val="en-IN"/>
          <w14:textFill>
            <w14:solidFill>
              <w14:schemeClr w14:val="tx1">
                <w14:lumMod w14:val="95000"/>
                <w14:lumOff w14:val="5000"/>
              </w14:schemeClr>
            </w14:solidFill>
          </w14:textFill>
        </w:rPr>
      </w:pPr>
      <w:r>
        <w:br w:type="page"/>
      </w:r>
    </w:p>
    <w:p>
      <w:pPr>
        <w:pStyle w:val="148"/>
        <w:rPr>
          <w:lang w:eastAsia="zh-CN"/>
        </w:rPr>
      </w:pPr>
      <w:r>
        <w:rPr>
          <w:lang w:eastAsia="zh-CN"/>
        </w:rPr>
        <w:t>工业用乙氧基硅烷</w:t>
      </w:r>
      <w:r>
        <w:rPr>
          <w:rFonts w:hint="eastAsia"/>
          <w:lang w:eastAsia="zh-CN"/>
        </w:rPr>
        <w:t>，全球市场规模，按应用细分，涂料及橡胶是最大的下游市场，占有6</w:t>
      </w:r>
      <w:r>
        <w:rPr>
          <w:lang w:eastAsia="zh-CN"/>
        </w:rPr>
        <w:t>3.8</w:t>
      </w:r>
      <w:r>
        <w:rPr>
          <w:rFonts w:hint="eastAsia"/>
          <w:lang w:eastAsia="zh-CN"/>
        </w:rPr>
        <w:t>%份额。</w:t>
      </w:r>
    </w:p>
    <w:p>
      <w:pPr>
        <w:pStyle w:val="145"/>
      </w:pPr>
      <w:r>
        <w:drawing>
          <wp:inline distT="0" distB="0" distL="0" distR="0">
            <wp:extent cx="6210300" cy="2832735"/>
            <wp:effectExtent l="0" t="0" r="0" b="5715"/>
            <wp:docPr id="36028855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288553" name="图片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218925" cy="2836796"/>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工业用乙氧基硅烷</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就产品类型而言，目前涂料及橡胶是最主要的需求来源，占据大约</w:t>
      </w:r>
      <w:r>
        <w:rPr>
          <w:lang w:eastAsia="zh-CN"/>
        </w:rPr>
        <w:t>63.8</w:t>
      </w:r>
      <w:r>
        <w:rPr>
          <w:rFonts w:hint="eastAsia"/>
          <w:lang w:eastAsia="zh-CN"/>
        </w:rPr>
        <w:t>%的份额。</w:t>
      </w:r>
    </w:p>
    <w:p>
      <w:pPr>
        <w:widowControl/>
        <w:topLinePunct w:val="0"/>
        <w:spacing w:after="0"/>
        <w:jc w:val="left"/>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2A50666"/>
    <w:rsid w:val="02E3014B"/>
    <w:rsid w:val="02E76B51"/>
    <w:rsid w:val="03447D4D"/>
    <w:rsid w:val="039F62FF"/>
    <w:rsid w:val="042F016D"/>
    <w:rsid w:val="05405A2B"/>
    <w:rsid w:val="070A2A99"/>
    <w:rsid w:val="07287ACA"/>
    <w:rsid w:val="07CE3ADB"/>
    <w:rsid w:val="07E72487"/>
    <w:rsid w:val="086D0162"/>
    <w:rsid w:val="09A76BE4"/>
    <w:rsid w:val="09B40479"/>
    <w:rsid w:val="0A164C9A"/>
    <w:rsid w:val="0A413560"/>
    <w:rsid w:val="0A9D03F6"/>
    <w:rsid w:val="0AFE7196"/>
    <w:rsid w:val="0B676BC5"/>
    <w:rsid w:val="0BE3650F"/>
    <w:rsid w:val="0C1C1B6C"/>
    <w:rsid w:val="0C3C7EA2"/>
    <w:rsid w:val="0C946333"/>
    <w:rsid w:val="0CE12BAF"/>
    <w:rsid w:val="0D126C01"/>
    <w:rsid w:val="0D223618"/>
    <w:rsid w:val="0E550512"/>
    <w:rsid w:val="0F5116AE"/>
    <w:rsid w:val="105A40DF"/>
    <w:rsid w:val="1087172B"/>
    <w:rsid w:val="10A04854"/>
    <w:rsid w:val="113605CA"/>
    <w:rsid w:val="118A2253"/>
    <w:rsid w:val="11930964"/>
    <w:rsid w:val="121421B7"/>
    <w:rsid w:val="12B442BF"/>
    <w:rsid w:val="132135EE"/>
    <w:rsid w:val="14DF00CB"/>
    <w:rsid w:val="15391A5F"/>
    <w:rsid w:val="161C3356"/>
    <w:rsid w:val="161D5555"/>
    <w:rsid w:val="166C0B57"/>
    <w:rsid w:val="16722A60"/>
    <w:rsid w:val="170809D5"/>
    <w:rsid w:val="171325EA"/>
    <w:rsid w:val="17263809"/>
    <w:rsid w:val="18147C0E"/>
    <w:rsid w:val="182A5635"/>
    <w:rsid w:val="184461DF"/>
    <w:rsid w:val="191861B7"/>
    <w:rsid w:val="19D133E7"/>
    <w:rsid w:val="19E67B09"/>
    <w:rsid w:val="1A3A7593"/>
    <w:rsid w:val="1A6900E2"/>
    <w:rsid w:val="1AE01026"/>
    <w:rsid w:val="1B2C5C22"/>
    <w:rsid w:val="1B415BC7"/>
    <w:rsid w:val="1B6E410D"/>
    <w:rsid w:val="1C8D7DE8"/>
    <w:rsid w:val="1D517B25"/>
    <w:rsid w:val="1DB37BCA"/>
    <w:rsid w:val="1DD1717A"/>
    <w:rsid w:val="1E264686"/>
    <w:rsid w:val="1F990CE4"/>
    <w:rsid w:val="20404975"/>
    <w:rsid w:val="20664BB5"/>
    <w:rsid w:val="20D506EC"/>
    <w:rsid w:val="20ED3B94"/>
    <w:rsid w:val="214210A0"/>
    <w:rsid w:val="218E591C"/>
    <w:rsid w:val="21C42573"/>
    <w:rsid w:val="229F5759"/>
    <w:rsid w:val="22D20532"/>
    <w:rsid w:val="236D70AB"/>
    <w:rsid w:val="24356AF4"/>
    <w:rsid w:val="243B67FF"/>
    <w:rsid w:val="250F7ADC"/>
    <w:rsid w:val="25B22B68"/>
    <w:rsid w:val="26126405"/>
    <w:rsid w:val="265B761D"/>
    <w:rsid w:val="27054714"/>
    <w:rsid w:val="27372964"/>
    <w:rsid w:val="28696559"/>
    <w:rsid w:val="28E41726"/>
    <w:rsid w:val="299E43D8"/>
    <w:rsid w:val="29DC643B"/>
    <w:rsid w:val="29FD43F1"/>
    <w:rsid w:val="2A5218FD"/>
    <w:rsid w:val="2C06004A"/>
    <w:rsid w:val="2C856399"/>
    <w:rsid w:val="2D090B71"/>
    <w:rsid w:val="2D373C3F"/>
    <w:rsid w:val="2D9A265E"/>
    <w:rsid w:val="2ED33660"/>
    <w:rsid w:val="2EF9001C"/>
    <w:rsid w:val="2F107C41"/>
    <w:rsid w:val="2FBF4562"/>
    <w:rsid w:val="3030139E"/>
    <w:rsid w:val="30711E07"/>
    <w:rsid w:val="30A844DF"/>
    <w:rsid w:val="31BC43A8"/>
    <w:rsid w:val="31BD1E29"/>
    <w:rsid w:val="31C02DAE"/>
    <w:rsid w:val="31CE7B45"/>
    <w:rsid w:val="31EF007A"/>
    <w:rsid w:val="32915685"/>
    <w:rsid w:val="32925305"/>
    <w:rsid w:val="33301D0B"/>
    <w:rsid w:val="333A261A"/>
    <w:rsid w:val="33995EB7"/>
    <w:rsid w:val="33CF4D0C"/>
    <w:rsid w:val="34945D4F"/>
    <w:rsid w:val="34A64D70"/>
    <w:rsid w:val="34ED1C61"/>
    <w:rsid w:val="354E0A01"/>
    <w:rsid w:val="35650626"/>
    <w:rsid w:val="35684E2E"/>
    <w:rsid w:val="357A05CB"/>
    <w:rsid w:val="36840A7D"/>
    <w:rsid w:val="38232AA8"/>
    <w:rsid w:val="38356245"/>
    <w:rsid w:val="389030DC"/>
    <w:rsid w:val="38CB7A3E"/>
    <w:rsid w:val="38F85F83"/>
    <w:rsid w:val="38FB278B"/>
    <w:rsid w:val="398D7AFC"/>
    <w:rsid w:val="399248BD"/>
    <w:rsid w:val="39984266"/>
    <w:rsid w:val="39AE2B63"/>
    <w:rsid w:val="39CE0565"/>
    <w:rsid w:val="39F13F9D"/>
    <w:rsid w:val="3A522D3D"/>
    <w:rsid w:val="3AC37B79"/>
    <w:rsid w:val="3BAF51F7"/>
    <w:rsid w:val="3CC92C1C"/>
    <w:rsid w:val="3CF93F15"/>
    <w:rsid w:val="3D6F51D8"/>
    <w:rsid w:val="3D947997"/>
    <w:rsid w:val="3DD50400"/>
    <w:rsid w:val="3E025A4C"/>
    <w:rsid w:val="3E2171FA"/>
    <w:rsid w:val="3E9704BE"/>
    <w:rsid w:val="3F2D1CB6"/>
    <w:rsid w:val="3F721126"/>
    <w:rsid w:val="3F9F0CF0"/>
    <w:rsid w:val="425311DE"/>
    <w:rsid w:val="42677E7F"/>
    <w:rsid w:val="43212B30"/>
    <w:rsid w:val="437525BA"/>
    <w:rsid w:val="44757F5F"/>
    <w:rsid w:val="44E0180C"/>
    <w:rsid w:val="45433AAF"/>
    <w:rsid w:val="456F5BF8"/>
    <w:rsid w:val="45921630"/>
    <w:rsid w:val="45AA4758"/>
    <w:rsid w:val="45D27E9B"/>
    <w:rsid w:val="46136706"/>
    <w:rsid w:val="4622569C"/>
    <w:rsid w:val="462369A1"/>
    <w:rsid w:val="46845740"/>
    <w:rsid w:val="46F91E7C"/>
    <w:rsid w:val="477F6C5D"/>
    <w:rsid w:val="48847404"/>
    <w:rsid w:val="494574C2"/>
    <w:rsid w:val="4A4A12EF"/>
    <w:rsid w:val="4A4D7CF5"/>
    <w:rsid w:val="4AE56F6F"/>
    <w:rsid w:val="4B427308"/>
    <w:rsid w:val="4B812670"/>
    <w:rsid w:val="4C054E48"/>
    <w:rsid w:val="4C537145"/>
    <w:rsid w:val="4D686C8D"/>
    <w:rsid w:val="4DFF2684"/>
    <w:rsid w:val="508942AC"/>
    <w:rsid w:val="508A77AF"/>
    <w:rsid w:val="508F1A38"/>
    <w:rsid w:val="50F25EDA"/>
    <w:rsid w:val="511C03A3"/>
    <w:rsid w:val="51656219"/>
    <w:rsid w:val="51804844"/>
    <w:rsid w:val="51ED73F6"/>
    <w:rsid w:val="52817C6A"/>
    <w:rsid w:val="52D41C73"/>
    <w:rsid w:val="53121757"/>
    <w:rsid w:val="53362C11"/>
    <w:rsid w:val="53AB3ED4"/>
    <w:rsid w:val="546A778A"/>
    <w:rsid w:val="5510379B"/>
    <w:rsid w:val="551769A9"/>
    <w:rsid w:val="55671C2C"/>
    <w:rsid w:val="56925E96"/>
    <w:rsid w:val="56B70654"/>
    <w:rsid w:val="56F10111"/>
    <w:rsid w:val="57391B27"/>
    <w:rsid w:val="57805B1E"/>
    <w:rsid w:val="57AD4064"/>
    <w:rsid w:val="585F1909"/>
    <w:rsid w:val="58C93537"/>
    <w:rsid w:val="591D6844"/>
    <w:rsid w:val="59227449"/>
    <w:rsid w:val="5AE738B1"/>
    <w:rsid w:val="5C140AA0"/>
    <w:rsid w:val="5C2A2C44"/>
    <w:rsid w:val="5CF4010E"/>
    <w:rsid w:val="5CF94596"/>
    <w:rsid w:val="5D0C1038"/>
    <w:rsid w:val="5D514C25"/>
    <w:rsid w:val="5E074753"/>
    <w:rsid w:val="5E363F9E"/>
    <w:rsid w:val="5EE42E3D"/>
    <w:rsid w:val="5EEC0249"/>
    <w:rsid w:val="5F6B1E1C"/>
    <w:rsid w:val="5FDF73FB"/>
    <w:rsid w:val="60534318"/>
    <w:rsid w:val="608060E1"/>
    <w:rsid w:val="60B146B2"/>
    <w:rsid w:val="60C36BF4"/>
    <w:rsid w:val="615E224C"/>
    <w:rsid w:val="62C01E93"/>
    <w:rsid w:val="62C06610"/>
    <w:rsid w:val="633F4960"/>
    <w:rsid w:val="640843A9"/>
    <w:rsid w:val="648B4982"/>
    <w:rsid w:val="64AF38BD"/>
    <w:rsid w:val="650D74DA"/>
    <w:rsid w:val="65811A17"/>
    <w:rsid w:val="662A0BAB"/>
    <w:rsid w:val="66BC5F1C"/>
    <w:rsid w:val="66D222BD"/>
    <w:rsid w:val="6889198F"/>
    <w:rsid w:val="69880C71"/>
    <w:rsid w:val="69AB2D6B"/>
    <w:rsid w:val="6AC14AB2"/>
    <w:rsid w:val="6AD050CC"/>
    <w:rsid w:val="6B026BA0"/>
    <w:rsid w:val="6B046820"/>
    <w:rsid w:val="6C974A38"/>
    <w:rsid w:val="6CE1026C"/>
    <w:rsid w:val="6D0475EA"/>
    <w:rsid w:val="6D7A7229"/>
    <w:rsid w:val="6D891A42"/>
    <w:rsid w:val="6EB3022A"/>
    <w:rsid w:val="6F21085E"/>
    <w:rsid w:val="6F32657A"/>
    <w:rsid w:val="6F6438D1"/>
    <w:rsid w:val="6F9D14AD"/>
    <w:rsid w:val="700468D2"/>
    <w:rsid w:val="706C4FFD"/>
    <w:rsid w:val="70EA114F"/>
    <w:rsid w:val="71062FFD"/>
    <w:rsid w:val="71791CB7"/>
    <w:rsid w:val="72414F83"/>
    <w:rsid w:val="72492390"/>
    <w:rsid w:val="726A4AC3"/>
    <w:rsid w:val="7271444E"/>
    <w:rsid w:val="73357A0F"/>
    <w:rsid w:val="73376795"/>
    <w:rsid w:val="73651863"/>
    <w:rsid w:val="739E3BBB"/>
    <w:rsid w:val="73D44095"/>
    <w:rsid w:val="74BF2D99"/>
    <w:rsid w:val="74C64922"/>
    <w:rsid w:val="75286F45"/>
    <w:rsid w:val="756B2EB1"/>
    <w:rsid w:val="76C30EE4"/>
    <w:rsid w:val="77A26354"/>
    <w:rsid w:val="780D5A03"/>
    <w:rsid w:val="78574EC9"/>
    <w:rsid w:val="787466AD"/>
    <w:rsid w:val="78967EE6"/>
    <w:rsid w:val="793144E1"/>
    <w:rsid w:val="79E10E02"/>
    <w:rsid w:val="7A4024A0"/>
    <w:rsid w:val="7AC62379"/>
    <w:rsid w:val="7B540CE3"/>
    <w:rsid w:val="7B7C4426"/>
    <w:rsid w:val="7BA41D67"/>
    <w:rsid w:val="7C1977A8"/>
    <w:rsid w:val="7C99137B"/>
    <w:rsid w:val="7D2953E6"/>
    <w:rsid w:val="7D817FF3"/>
    <w:rsid w:val="7DFC793D"/>
    <w:rsid w:val="7E261E06"/>
    <w:rsid w:val="7F0439F3"/>
    <w:rsid w:val="7F0B7AFA"/>
    <w:rsid w:val="7F107805"/>
    <w:rsid w:val="7F1C1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577</Words>
  <Characters>3294</Characters>
  <Lines>27</Lines>
  <Paragraphs>7</Paragraphs>
  <TotalTime>0</TotalTime>
  <ScaleCrop>false</ScaleCrop>
  <LinksUpToDate>false</LinksUpToDate>
  <CharactersWithSpaces>3864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2023-12-14T06:11:17Z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C5114046CB024BEEABB692216DE8136F_13</vt:lpwstr>
  </property>
</Properties>
</file>