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olors1.xml" ContentType="application/vnd.ms-office.chartcolorstyle+xml"/>
  <Override PartName="/word/charts/style1.xml" ContentType="application/vnd.ms-office.chartstyle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ectPr>
          <w:headerReference r:id="rId5" w:type="first"/>
          <w:headerReference r:id="rId4" w:type="even"/>
          <w:pgSz w:w="11906" w:h="16838"/>
          <w:pgMar w:top="1418" w:right="1134" w:bottom="851" w:left="1134" w:header="709" w:footer="567" w:gutter="0"/>
          <w:pgNumType w:start="0"/>
          <w:cols w:space="708" w:num="1"/>
          <w:docGrid w:linePitch="360" w:charSpace="0"/>
        </w:sectPr>
      </w:pPr>
      <w:bookmarkStart w:id="14" w:name="_GoBack"/>
      <w:bookmarkEnd w:id="14"/>
      <w:bookmarkStart w:id="0" w:name="OLE_LINK40"/>
      <w:bookmarkStart w:id="1" w:name="OLE_LINK39"/>
      <w:bookmarkStart w:id="2" w:name="_Toc415143481"/>
      <w:bookmarkStart w:id="3" w:name="_Toc415142861"/>
      <w:bookmarkStart w:id="4" w:name="_Toc481801204"/>
      <w:bookmarkStart w:id="5" w:name="_Toc453597319"/>
      <w:bookmarkStart w:id="6" w:name="_Toc418070112"/>
      <w:bookmarkStart w:id="7" w:name="_Toc517262917"/>
      <w:bookmarkStart w:id="8" w:name="_Toc438987549"/>
      <w:bookmarkStart w:id="9" w:name="_Toc415818939"/>
      <w:bookmarkStart w:id="10" w:name="OLE_LINK13"/>
      <w:bookmarkStart w:id="11" w:name="OLE_LINK15"/>
      <w:bookmarkStart w:id="12" w:name="OLE_LINK24"/>
      <w:bookmarkStart w:id="13" w:name="_Hlk23501351"/>
      <w:r>
        <w:rPr>
          <w:sz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255905</wp:posOffset>
                </wp:positionH>
                <wp:positionV relativeFrom="paragraph">
                  <wp:posOffset>1416050</wp:posOffset>
                </wp:positionV>
                <wp:extent cx="5761990" cy="2085975"/>
                <wp:effectExtent l="0" t="0" r="10160" b="9525"/>
                <wp:wrapNone/>
                <wp:docPr id="56" name="文本框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651635" y="2068195"/>
                          <a:ext cx="5761990" cy="20859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widowControl/>
                              <w:topLinePunct w:val="0"/>
                              <w:jc w:val="both"/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全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球及中国间位芳纶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"https://www.renrendoc.com/paper/299540813.html" \t "https://www.renrendoc.com/renrendoc_v1/MCBookList/_blank" </w:instrTex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行业市场份额调研报告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.15pt;margin-top:111.5pt;height:164.25pt;width:453.7pt;z-index:251661312;mso-width-relative:page;mso-height-relative:page;" fillcolor="#FFFFFF [3201]" filled="t" stroked="f" coordsize="21600,21600" o:gfxdata="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hjdK&#10;yNYAAAAKAQAADwAAAAAAAAABACAAAAAiAAAAZHJzL2Rvd25yZXYueG1sUEsBAhQAFAAAAAgAh07i&#10;QP3dSoldAgAAngQAAA4AAAAAAAAAAQAgAAAAJQEAAGRycy9lMm9Eb2MueG1sUEsFBgAAAAAGAAYA&#10;WQEAAPQFAAAAAA=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widowControl/>
                        <w:topLinePunct w:val="0"/>
                        <w:jc w:val="both"/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全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球及中国间位芳纶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"https://www.renrendoc.com/paper/299540813.html" \t "https://www.renrendoc.com/renrendoc_v1/MCBookList/_blank" </w:instrTex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行业市场份额调研报告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-718185</wp:posOffset>
            </wp:positionH>
            <wp:positionV relativeFrom="paragraph">
              <wp:posOffset>-881380</wp:posOffset>
            </wp:positionV>
            <wp:extent cx="7560310" cy="10690225"/>
            <wp:effectExtent l="0" t="0" r="2540" b="15875"/>
            <wp:wrapNone/>
            <wp:docPr id="3" name="图片 3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协议封面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p>
      <w:pPr>
        <w:pStyle w:val="145"/>
        <w:rPr>
          <w:lang w:eastAsia="zh-CN"/>
        </w:rPr>
      </w:pPr>
      <w:r>
        <w:drawing>
          <wp:inline distT="0" distB="0" distL="0" distR="0">
            <wp:extent cx="1761490" cy="1742440"/>
            <wp:effectExtent l="0" t="0" r="10160" b="1016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761905" cy="17428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topLinePunct w:val="0"/>
        <w:spacing w:after="0"/>
        <w:rPr>
          <w:rFonts w:ascii="Book Antiqua" w:hAnsi="Book Antiqua" w:cs="宋体"/>
          <w:kern w:val="0"/>
          <w:sz w:val="24"/>
          <w:szCs w:val="24"/>
        </w:rPr>
      </w:pPr>
      <w:r>
        <w:rPr>
          <w:rFonts w:ascii="Book Antiqua" w:hAnsi="Book Antiqua" w:cs="宋体"/>
          <w:kern w:val="0"/>
          <w:sz w:val="24"/>
          <w:szCs w:val="24"/>
        </w:rPr>
        <w:t>据调研团队最新报告“全球间位芳纶市场报告2023-2029”显示，预计2029年全球间位芳纶市场规模将达到12.4亿美元，未来几年年复合增长率CAGR为7.3%。</w:t>
      </w:r>
    </w:p>
    <w:p>
      <w:pPr>
        <w:pStyle w:val="145"/>
        <w:rPr>
          <w:lang w:val="en-US" w:eastAsia="zh-CN"/>
        </w:rPr>
      </w:pPr>
    </w:p>
    <w:p>
      <w:pPr>
        <w:pStyle w:val="148"/>
      </w:pPr>
      <w:r>
        <w:t>间位芳纶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5189855" cy="2713990"/>
            <wp:effectExtent l="0" t="0" r="1079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90476" cy="2714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间位芳纶</w:t>
      </w:r>
      <w:r>
        <w:rPr>
          <w:rFonts w:hint="eastAsia"/>
        </w:rPr>
        <w:t>市场研究报告2023-2029</w:t>
      </w:r>
      <w:r>
        <w:t>.</w:t>
      </w:r>
    </w:p>
    <w:p>
      <w:pPr>
        <w:pStyle w:val="145"/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间位芳纶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9</w:t>
      </w:r>
      <w:r>
        <w:rPr>
          <w:rFonts w:hint="eastAsia"/>
          <w:lang w:eastAsia="zh-CN"/>
        </w:rPr>
        <w:t>强生产商排名及市场占有率（2</w:t>
      </w:r>
      <w:r>
        <w:rPr>
          <w:lang w:eastAsia="zh-CN"/>
        </w:rPr>
        <w:t>021</w:t>
      </w:r>
      <w:r>
        <w:rPr>
          <w:rFonts w:hint="eastAsia"/>
          <w:lang w:eastAsia="zh-CN"/>
        </w:rPr>
        <w:t>数据，持续更新）</w:t>
      </w:r>
    </w:p>
    <w:p>
      <w:pPr>
        <w:pStyle w:val="145"/>
        <w:jc w:val="center"/>
      </w:pPr>
      <w:r>
        <w:drawing>
          <wp:inline distT="0" distB="0" distL="0" distR="0">
            <wp:extent cx="4572000" cy="4399915"/>
            <wp:effectExtent l="0" t="0" r="0" b="635"/>
            <wp:docPr id="2" name="图表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pStyle w:val="143"/>
      </w:pPr>
      <w:r>
        <w:rPr>
          <w:rFonts w:hint="eastAsia"/>
          <w:lang w:eastAsia="zh-CN"/>
        </w:rPr>
        <w:t>如上图表/数据，摘自QYResearch最新报告“</w:t>
      </w:r>
      <w:r>
        <w:rPr>
          <w:rFonts w:hint="eastAsia"/>
        </w:rPr>
        <w:t>全球</w:t>
      </w:r>
      <w:r>
        <w:t>间位芳纶</w:t>
      </w:r>
      <w:r>
        <w:rPr>
          <w:rFonts w:hint="eastAsia"/>
        </w:rPr>
        <w:t>市场研究报告2023-2029</w:t>
      </w:r>
      <w:r>
        <w:rPr>
          <w:rFonts w:hint="eastAsia"/>
          <w:lang w:eastAsia="zh-CN"/>
        </w:rPr>
        <w:t>中的2</w:t>
      </w:r>
      <w:r>
        <w:rPr>
          <w:lang w:eastAsia="zh-CN"/>
        </w:rPr>
        <w:t>021</w:t>
      </w:r>
      <w:r>
        <w:rPr>
          <w:rFonts w:hint="eastAsia"/>
          <w:lang w:eastAsia="zh-CN"/>
        </w:rPr>
        <w:t>年数据</w:t>
      </w:r>
      <w:r>
        <w:t>.</w:t>
      </w:r>
    </w:p>
    <w:p>
      <w:pPr>
        <w:widowControl/>
        <w:topLinePunct w:val="0"/>
        <w:spacing w:after="0"/>
        <w:rPr>
          <w:rFonts w:ascii="Times New Roman" w:hAnsi="Times New Roman" w:cs="Times New Roman"/>
          <w:kern w:val="0"/>
          <w:sz w:val="22"/>
          <w:szCs w:val="22"/>
        </w:rPr>
      </w:pPr>
      <w:r>
        <w:rPr>
          <w:rFonts w:ascii="Times New Roman" w:hAnsi="Times New Roman" w:cs="Times New Roman"/>
          <w:kern w:val="0"/>
          <w:sz w:val="22"/>
          <w:szCs w:val="22"/>
        </w:rPr>
        <w:t>全球范围内间位芳纶生产商主要包括Dupont、Yantai Tayho Advanced Materials、Teijin、X-FIPER New Material、Toray等。2021年，全球前四大厂商占有大约83.0%的市场份额。</w:t>
      </w:r>
    </w:p>
    <w:p>
      <w:pPr>
        <w:widowControl/>
        <w:topLinePunct w:val="0"/>
        <w:spacing w:after="0"/>
        <w:jc w:val="left"/>
        <w:rPr>
          <w:lang w:eastAsia="zh-CN"/>
        </w:rPr>
      </w:pPr>
    </w:p>
    <w:sectPr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2056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2055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3F13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16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054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9EB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2AD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20C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21E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42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6E4D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4ED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244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17C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51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3BD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  <w:rsid w:val="011B0B5F"/>
    <w:rsid w:val="02A50666"/>
    <w:rsid w:val="02E3014B"/>
    <w:rsid w:val="02E76B51"/>
    <w:rsid w:val="03447D4D"/>
    <w:rsid w:val="039F62FF"/>
    <w:rsid w:val="042F016D"/>
    <w:rsid w:val="047F596D"/>
    <w:rsid w:val="05405A2B"/>
    <w:rsid w:val="064B395F"/>
    <w:rsid w:val="064B71E3"/>
    <w:rsid w:val="070A2A99"/>
    <w:rsid w:val="07287ACA"/>
    <w:rsid w:val="07CE3ADB"/>
    <w:rsid w:val="07E72487"/>
    <w:rsid w:val="086D0162"/>
    <w:rsid w:val="09A76BE4"/>
    <w:rsid w:val="09B40479"/>
    <w:rsid w:val="0A164C9A"/>
    <w:rsid w:val="0A413560"/>
    <w:rsid w:val="0A9D03F6"/>
    <w:rsid w:val="0AFE7196"/>
    <w:rsid w:val="0B676BC5"/>
    <w:rsid w:val="0BE3650F"/>
    <w:rsid w:val="0C1C1B6C"/>
    <w:rsid w:val="0C3C7EA2"/>
    <w:rsid w:val="0C946333"/>
    <w:rsid w:val="0C996F37"/>
    <w:rsid w:val="0CDE1C2A"/>
    <w:rsid w:val="0CE12BAF"/>
    <w:rsid w:val="0CE7033B"/>
    <w:rsid w:val="0D126C01"/>
    <w:rsid w:val="0D223618"/>
    <w:rsid w:val="0E550512"/>
    <w:rsid w:val="0F5116AE"/>
    <w:rsid w:val="105A40DF"/>
    <w:rsid w:val="1087172B"/>
    <w:rsid w:val="10A04854"/>
    <w:rsid w:val="111D76A0"/>
    <w:rsid w:val="113605CA"/>
    <w:rsid w:val="118A2253"/>
    <w:rsid w:val="11930964"/>
    <w:rsid w:val="121421B7"/>
    <w:rsid w:val="12A32D1F"/>
    <w:rsid w:val="12B442BF"/>
    <w:rsid w:val="132135EE"/>
    <w:rsid w:val="14DF00CB"/>
    <w:rsid w:val="15391A5F"/>
    <w:rsid w:val="156712A9"/>
    <w:rsid w:val="161C3356"/>
    <w:rsid w:val="161D5555"/>
    <w:rsid w:val="166C0B57"/>
    <w:rsid w:val="16722A60"/>
    <w:rsid w:val="170809D5"/>
    <w:rsid w:val="171325EA"/>
    <w:rsid w:val="17263809"/>
    <w:rsid w:val="18147C0E"/>
    <w:rsid w:val="182A5635"/>
    <w:rsid w:val="184461DF"/>
    <w:rsid w:val="191861B7"/>
    <w:rsid w:val="19D133E7"/>
    <w:rsid w:val="19E67B09"/>
    <w:rsid w:val="1A3A7593"/>
    <w:rsid w:val="1A6900E2"/>
    <w:rsid w:val="1AE01026"/>
    <w:rsid w:val="1B2C5C22"/>
    <w:rsid w:val="1B415BC7"/>
    <w:rsid w:val="1B6E410D"/>
    <w:rsid w:val="1C8D7DE8"/>
    <w:rsid w:val="1D1C50CD"/>
    <w:rsid w:val="1D517B25"/>
    <w:rsid w:val="1DB37BCA"/>
    <w:rsid w:val="1DD1717A"/>
    <w:rsid w:val="1E264686"/>
    <w:rsid w:val="1EEF62CD"/>
    <w:rsid w:val="1F990CE4"/>
    <w:rsid w:val="20404975"/>
    <w:rsid w:val="20664BB5"/>
    <w:rsid w:val="20D506EC"/>
    <w:rsid w:val="20ED3B94"/>
    <w:rsid w:val="214210A0"/>
    <w:rsid w:val="218E591C"/>
    <w:rsid w:val="21C42573"/>
    <w:rsid w:val="229F5759"/>
    <w:rsid w:val="22D20532"/>
    <w:rsid w:val="236D70AB"/>
    <w:rsid w:val="24356AF4"/>
    <w:rsid w:val="243B67FF"/>
    <w:rsid w:val="250F7ADC"/>
    <w:rsid w:val="25B22B68"/>
    <w:rsid w:val="26126405"/>
    <w:rsid w:val="265B761D"/>
    <w:rsid w:val="27054714"/>
    <w:rsid w:val="27372964"/>
    <w:rsid w:val="28696559"/>
    <w:rsid w:val="28E41726"/>
    <w:rsid w:val="296341F3"/>
    <w:rsid w:val="299E43D8"/>
    <w:rsid w:val="29DC643B"/>
    <w:rsid w:val="29FD43F1"/>
    <w:rsid w:val="2A5218FD"/>
    <w:rsid w:val="2C06004A"/>
    <w:rsid w:val="2C856399"/>
    <w:rsid w:val="2D090B71"/>
    <w:rsid w:val="2D373C3F"/>
    <w:rsid w:val="2D9A265E"/>
    <w:rsid w:val="2ED33660"/>
    <w:rsid w:val="2EF9001C"/>
    <w:rsid w:val="2F107C41"/>
    <w:rsid w:val="2FBF4562"/>
    <w:rsid w:val="3030139E"/>
    <w:rsid w:val="30711E07"/>
    <w:rsid w:val="30A844DF"/>
    <w:rsid w:val="31586882"/>
    <w:rsid w:val="31BC43A8"/>
    <w:rsid w:val="31BD1E29"/>
    <w:rsid w:val="31C02DAE"/>
    <w:rsid w:val="31CE7B45"/>
    <w:rsid w:val="31EF007A"/>
    <w:rsid w:val="32915685"/>
    <w:rsid w:val="32925305"/>
    <w:rsid w:val="33301D0B"/>
    <w:rsid w:val="333A261A"/>
    <w:rsid w:val="33995EB7"/>
    <w:rsid w:val="33CF4D0C"/>
    <w:rsid w:val="34945D4F"/>
    <w:rsid w:val="34A64D70"/>
    <w:rsid w:val="34ED1C61"/>
    <w:rsid w:val="354E0A01"/>
    <w:rsid w:val="35650626"/>
    <w:rsid w:val="35684E2E"/>
    <w:rsid w:val="357A05CB"/>
    <w:rsid w:val="36840A7D"/>
    <w:rsid w:val="36A9323B"/>
    <w:rsid w:val="38232AA8"/>
    <w:rsid w:val="38356245"/>
    <w:rsid w:val="389030DC"/>
    <w:rsid w:val="38CB7A3E"/>
    <w:rsid w:val="38F85F83"/>
    <w:rsid w:val="38FB278B"/>
    <w:rsid w:val="393D6A78"/>
    <w:rsid w:val="398D7AFC"/>
    <w:rsid w:val="399248BD"/>
    <w:rsid w:val="39984266"/>
    <w:rsid w:val="39AE2B63"/>
    <w:rsid w:val="39CE0565"/>
    <w:rsid w:val="39F13F9D"/>
    <w:rsid w:val="3A522D3D"/>
    <w:rsid w:val="3AC37B79"/>
    <w:rsid w:val="3BAF51F7"/>
    <w:rsid w:val="3CC92C1C"/>
    <w:rsid w:val="3CF93F15"/>
    <w:rsid w:val="3D6F51D8"/>
    <w:rsid w:val="3D947997"/>
    <w:rsid w:val="3DAD2ABF"/>
    <w:rsid w:val="3DD50400"/>
    <w:rsid w:val="3DFB283E"/>
    <w:rsid w:val="3E025A4C"/>
    <w:rsid w:val="3E2171FA"/>
    <w:rsid w:val="3E9704BE"/>
    <w:rsid w:val="3F2D1CB6"/>
    <w:rsid w:val="3F721126"/>
    <w:rsid w:val="3F9F0CF0"/>
    <w:rsid w:val="425311DE"/>
    <w:rsid w:val="42677E7F"/>
    <w:rsid w:val="43212B30"/>
    <w:rsid w:val="436E2C30"/>
    <w:rsid w:val="437525BA"/>
    <w:rsid w:val="443F5506"/>
    <w:rsid w:val="44757F5F"/>
    <w:rsid w:val="44E0180C"/>
    <w:rsid w:val="45433AAF"/>
    <w:rsid w:val="456F5BF8"/>
    <w:rsid w:val="45921630"/>
    <w:rsid w:val="45AA4758"/>
    <w:rsid w:val="45D27E9B"/>
    <w:rsid w:val="46136706"/>
    <w:rsid w:val="4622569C"/>
    <w:rsid w:val="462369A1"/>
    <w:rsid w:val="46845740"/>
    <w:rsid w:val="46F91E7C"/>
    <w:rsid w:val="477F6C5D"/>
    <w:rsid w:val="48847404"/>
    <w:rsid w:val="494574C2"/>
    <w:rsid w:val="4A4A12EF"/>
    <w:rsid w:val="4A4D7CF5"/>
    <w:rsid w:val="4AE56F6F"/>
    <w:rsid w:val="4B427308"/>
    <w:rsid w:val="4B812670"/>
    <w:rsid w:val="4B8D6483"/>
    <w:rsid w:val="4C054E48"/>
    <w:rsid w:val="4C537145"/>
    <w:rsid w:val="4D686C8D"/>
    <w:rsid w:val="4DA25B6E"/>
    <w:rsid w:val="4DFF2684"/>
    <w:rsid w:val="508942AC"/>
    <w:rsid w:val="508A77AF"/>
    <w:rsid w:val="508F1A38"/>
    <w:rsid w:val="50F25EDA"/>
    <w:rsid w:val="511C03A3"/>
    <w:rsid w:val="51656219"/>
    <w:rsid w:val="51804844"/>
    <w:rsid w:val="51ED73F6"/>
    <w:rsid w:val="525D67B1"/>
    <w:rsid w:val="52817C6A"/>
    <w:rsid w:val="52D41C73"/>
    <w:rsid w:val="53121757"/>
    <w:rsid w:val="53362C11"/>
    <w:rsid w:val="53AB3ED4"/>
    <w:rsid w:val="546A778A"/>
    <w:rsid w:val="54AD6F7A"/>
    <w:rsid w:val="5510379B"/>
    <w:rsid w:val="551769A9"/>
    <w:rsid w:val="55671C2C"/>
    <w:rsid w:val="56761DE9"/>
    <w:rsid w:val="56925E96"/>
    <w:rsid w:val="56B70654"/>
    <w:rsid w:val="56F10111"/>
    <w:rsid w:val="57391B27"/>
    <w:rsid w:val="57805B1E"/>
    <w:rsid w:val="57AD4064"/>
    <w:rsid w:val="585F1909"/>
    <w:rsid w:val="58C93537"/>
    <w:rsid w:val="591D6844"/>
    <w:rsid w:val="59227449"/>
    <w:rsid w:val="59F70726"/>
    <w:rsid w:val="5AE738B1"/>
    <w:rsid w:val="5C140AA0"/>
    <w:rsid w:val="5C2A2C44"/>
    <w:rsid w:val="5CF4010E"/>
    <w:rsid w:val="5CF94596"/>
    <w:rsid w:val="5D0C1038"/>
    <w:rsid w:val="5D514C25"/>
    <w:rsid w:val="5E074753"/>
    <w:rsid w:val="5E363F9E"/>
    <w:rsid w:val="5EE42E3D"/>
    <w:rsid w:val="5EEC0249"/>
    <w:rsid w:val="5F6B1E1C"/>
    <w:rsid w:val="5FDF73FB"/>
    <w:rsid w:val="60534318"/>
    <w:rsid w:val="608060E1"/>
    <w:rsid w:val="60B146B2"/>
    <w:rsid w:val="60C36BF4"/>
    <w:rsid w:val="615E224C"/>
    <w:rsid w:val="62502AD9"/>
    <w:rsid w:val="62C01E93"/>
    <w:rsid w:val="62C06610"/>
    <w:rsid w:val="633F4960"/>
    <w:rsid w:val="63E663F3"/>
    <w:rsid w:val="640843A9"/>
    <w:rsid w:val="648B4982"/>
    <w:rsid w:val="64AF38BD"/>
    <w:rsid w:val="650D74DA"/>
    <w:rsid w:val="65811A17"/>
    <w:rsid w:val="662A0BAB"/>
    <w:rsid w:val="66BC5F1C"/>
    <w:rsid w:val="66D222BD"/>
    <w:rsid w:val="67600C28"/>
    <w:rsid w:val="6777664F"/>
    <w:rsid w:val="6889198F"/>
    <w:rsid w:val="696D5485"/>
    <w:rsid w:val="69880C71"/>
    <w:rsid w:val="69AB2D6B"/>
    <w:rsid w:val="69FF27F5"/>
    <w:rsid w:val="6AC14AB2"/>
    <w:rsid w:val="6AD050CC"/>
    <w:rsid w:val="6B026BA0"/>
    <w:rsid w:val="6B046820"/>
    <w:rsid w:val="6C974A38"/>
    <w:rsid w:val="6CE1026C"/>
    <w:rsid w:val="6D0475EA"/>
    <w:rsid w:val="6D7A7229"/>
    <w:rsid w:val="6D891A42"/>
    <w:rsid w:val="6EB3022A"/>
    <w:rsid w:val="6F21085E"/>
    <w:rsid w:val="6F32657A"/>
    <w:rsid w:val="6F6438D1"/>
    <w:rsid w:val="6F9D14AD"/>
    <w:rsid w:val="700468D2"/>
    <w:rsid w:val="706C4FFD"/>
    <w:rsid w:val="70EA114F"/>
    <w:rsid w:val="71062FFD"/>
    <w:rsid w:val="71791CB7"/>
    <w:rsid w:val="72414F83"/>
    <w:rsid w:val="72492390"/>
    <w:rsid w:val="726A4AC3"/>
    <w:rsid w:val="7271444E"/>
    <w:rsid w:val="73357A0F"/>
    <w:rsid w:val="73376795"/>
    <w:rsid w:val="73651863"/>
    <w:rsid w:val="739E3BBB"/>
    <w:rsid w:val="73D44095"/>
    <w:rsid w:val="74BF2D99"/>
    <w:rsid w:val="74C64922"/>
    <w:rsid w:val="74D900BF"/>
    <w:rsid w:val="75286F45"/>
    <w:rsid w:val="756B2EB1"/>
    <w:rsid w:val="76C30EE4"/>
    <w:rsid w:val="76E44C9C"/>
    <w:rsid w:val="77A26354"/>
    <w:rsid w:val="780D5A03"/>
    <w:rsid w:val="78574EC9"/>
    <w:rsid w:val="787466AD"/>
    <w:rsid w:val="78967EE6"/>
    <w:rsid w:val="793144E1"/>
    <w:rsid w:val="79E10E02"/>
    <w:rsid w:val="7A4024A0"/>
    <w:rsid w:val="7AC62379"/>
    <w:rsid w:val="7B540CE3"/>
    <w:rsid w:val="7B716095"/>
    <w:rsid w:val="7B7C4426"/>
    <w:rsid w:val="7BA41D67"/>
    <w:rsid w:val="7C1977A8"/>
    <w:rsid w:val="7C99137B"/>
    <w:rsid w:val="7D2953E6"/>
    <w:rsid w:val="7D817FF3"/>
    <w:rsid w:val="7DFC793D"/>
    <w:rsid w:val="7E261E06"/>
    <w:rsid w:val="7E990AC0"/>
    <w:rsid w:val="7F0439F3"/>
    <w:rsid w:val="7F0B7AFA"/>
    <w:rsid w:val="7F107805"/>
    <w:rsid w:val="7F1C1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qFormat="1"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qFormat="1"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qFormat="1"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qFormat="1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qFormat="1"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qFormat="1"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semiHidden/>
    <w:unhideWhenUsed/>
    <w:qFormat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qFormat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unhideWhenUsed/>
    <w:qFormat/>
    <w:uiPriority w:val="0"/>
    <w:pPr>
      <w:jc w:val="left"/>
    </w:pPr>
  </w:style>
  <w:style w:type="paragraph" w:styleId="13">
    <w:name w:val="Body Text"/>
    <w:basedOn w:val="1"/>
    <w:link w:val="112"/>
    <w:qFormat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qFormat/>
    <w:uiPriority w:val="0"/>
    <w:rPr>
      <w:rFonts w:ascii="宋体" w:hAnsi="Courier New" w:cs="Courier New"/>
    </w:rPr>
  </w:style>
  <w:style w:type="paragraph" w:styleId="17">
    <w:name w:val="toc 8"/>
    <w:basedOn w:val="1"/>
    <w:next w:val="1"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qFormat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unhideWhenUsed/>
    <w:qFormat/>
    <w:uiPriority w:val="39"/>
  </w:style>
  <w:style w:type="paragraph" w:styleId="28">
    <w:name w:val="table of figures"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unhideWhenUsed/>
    <w:qFormat/>
    <w:uiPriority w:val="39"/>
    <w:pPr>
      <w:ind w:left="3360" w:leftChars="1600"/>
    </w:pPr>
  </w:style>
  <w:style w:type="paragraph" w:styleId="3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qFormat/>
    <w:uiPriority w:val="0"/>
    <w:pPr>
      <w:jc w:val="left"/>
    </w:pPr>
    <w:rPr>
      <w:b/>
      <w:bCs/>
    </w:rPr>
  </w:style>
  <w:style w:type="table" w:styleId="35">
    <w:name w:val="Table Grid"/>
    <w:basedOn w:val="34"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qFormat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qFormat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unhideWhenUsed/>
    <w:qFormat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semiHidden/>
    <w:unhideWhenUsed/>
    <w:qFormat/>
    <w:uiPriority w:val="99"/>
    <w:rPr>
      <w:vertAlign w:val="superscript"/>
    </w:rPr>
  </w:style>
  <w:style w:type="character" w:styleId="70">
    <w:name w:val="Emphasis"/>
    <w:qFormat/>
    <w:uiPriority w:val="0"/>
    <w:rPr>
      <w:i/>
      <w:iCs/>
    </w:rPr>
  </w:style>
  <w:style w:type="character" w:styleId="71">
    <w:name w:val="Hyperlink"/>
    <w:unhideWhenUsed/>
    <w:qFormat/>
    <w:uiPriority w:val="99"/>
    <w:rPr>
      <w:color w:val="0000FF"/>
      <w:u w:val="single"/>
    </w:rPr>
  </w:style>
  <w:style w:type="character" w:styleId="72">
    <w:name w:val="annotation reference"/>
    <w:qFormat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qFormat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qFormat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qFormat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qFormat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qFormat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qFormat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qFormat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qFormat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qFormat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qFormat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qFormat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qFormat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qFormat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qFormat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qFormat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qFormat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qFormat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qFormat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qFormat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qFormat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qFormat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qFormat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qFormat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qFormat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qFormat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qFormat/>
    <w:uiPriority w:val="0"/>
    <w:rPr>
      <w:b/>
    </w:rPr>
  </w:style>
  <w:style w:type="table" w:customStyle="1" w:styleId="134">
    <w:name w:val="网格表 4 - 着色 13"/>
    <w:basedOn w:val="34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qFormat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qFormat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qFormat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qFormat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qFormat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qFormat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qFormat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qFormat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qFormat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qFormat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qFormat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qFormat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semiHidden/>
    <w:qFormat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qFormat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qFormat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qFormat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qFormat/>
    <w:uiPriority w:val="99"/>
  </w:style>
  <w:style w:type="table" w:customStyle="1" w:styleId="201">
    <w:name w:val="List Table 2 Accent 5"/>
    <w:basedOn w:val="34"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qFormat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jpeg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chart" Target="charts/chart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C:\Users\hzbz\Desktop\&#26032;&#24314;&#25991;&#20214;&#22841;%20(2)\Meta%20Aramid%20&#38388;&#20301;&#33459;&#32438;\&#35266;&#28857;&#25968;&#25454;&#22270;&#34920;&#27169;&#26495;-&#20840;&#29699;20231017%20&#23454;&#20064;&#21516;&#23398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05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  <a:r>
              <a:rPr lang="zh-CN" altLang="en-US" sz="1050">
                <a:latin typeface="Book Antiqua" panose="02040602050305030304" pitchFamily="1" charset="0"/>
              </a:rPr>
              <a:t>全球市场主要企业排名</a:t>
            </a:r>
            <a:endParaRPr lang="en-US" altLang="zh-CN" sz="1050">
              <a:latin typeface="Book Antiqua" panose="02040602050305030304" pitchFamily="1" charset="0"/>
            </a:endParaRPr>
          </a:p>
        </c:rich>
      </c:tx>
      <c:layout>
        <c:manualLayout>
          <c:xMode val="edge"/>
          <c:yMode val="edge"/>
          <c:x val="0.332020778652668"/>
          <c:y val="0.0346320818516983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bar"/>
        <c:grouping val="clustered"/>
        <c:varyColors val="1"/>
        <c:ser>
          <c:idx val="0"/>
          <c:order val="0"/>
          <c:tx>
            <c:strRef>
              <c:f>企业排序!$G$1</c:f>
              <c:strCache>
                <c:ptCount val="1"/>
                <c:pt idx="0">
                  <c:v>2022</c:v>
                </c:pt>
              </c:strCache>
            </c:strRef>
          </c:tx>
          <c:spPr/>
          <c:invertIfNegative val="0"/>
          <c:dPt>
            <c:idx val="0"/>
            <c:invertIfNegative val="0"/>
            <c:bubble3D val="0"/>
            <c:spPr>
              <a:solidFill>
                <a:schemeClr val="accent1"/>
              </a:solidFill>
              <a:ln>
                <a:noFill/>
              </a:ln>
              <a:effectLst/>
            </c:spPr>
          </c:dPt>
          <c:dPt>
            <c:idx val="1"/>
            <c:invertIfNegative val="0"/>
            <c:bubble3D val="0"/>
            <c:spPr>
              <a:solidFill>
                <a:schemeClr val="accent2"/>
              </a:solidFill>
              <a:ln>
                <a:noFill/>
              </a:ln>
              <a:effectLst/>
            </c:spPr>
          </c:dPt>
          <c:dPt>
            <c:idx val="2"/>
            <c:invertIfNegative val="0"/>
            <c:bubble3D val="0"/>
            <c:spPr>
              <a:solidFill>
                <a:schemeClr val="accent3"/>
              </a:solidFill>
              <a:ln>
                <a:noFill/>
              </a:ln>
              <a:effectLst/>
            </c:spPr>
          </c:dPt>
          <c:dPt>
            <c:idx val="3"/>
            <c:invertIfNegative val="0"/>
            <c:bubble3D val="0"/>
            <c:spPr>
              <a:solidFill>
                <a:schemeClr val="accent4"/>
              </a:solidFill>
              <a:ln>
                <a:noFill/>
              </a:ln>
              <a:effectLst/>
            </c:spPr>
          </c:dPt>
          <c:dPt>
            <c:idx val="4"/>
            <c:invertIfNegative val="0"/>
            <c:bubble3D val="0"/>
            <c:spPr>
              <a:solidFill>
                <a:schemeClr val="accent5"/>
              </a:solidFill>
              <a:ln>
                <a:noFill/>
              </a:ln>
              <a:effectLst/>
            </c:spPr>
          </c:dPt>
          <c:dPt>
            <c:idx val="5"/>
            <c:invertIfNegative val="0"/>
            <c:bubble3D val="0"/>
            <c:spPr>
              <a:solidFill>
                <a:schemeClr val="accent6"/>
              </a:solidFill>
              <a:ln>
                <a:noFill/>
              </a:ln>
              <a:effectLst/>
            </c:spPr>
          </c:dPt>
          <c:dPt>
            <c:idx val="6"/>
            <c:invertIfNegative val="0"/>
            <c:bubble3D val="0"/>
            <c:spPr>
              <a:solidFill>
                <a:schemeClr val="accent1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7"/>
            <c:invertIfNegative val="0"/>
            <c:bubble3D val="0"/>
            <c:spPr>
              <a:solidFill>
                <a:schemeClr val="accent2">
                  <a:lumMod val="60000"/>
                </a:schemeClr>
              </a:solidFill>
              <a:ln>
                <a:noFill/>
              </a:ln>
              <a:effectLst/>
            </c:spPr>
          </c:dPt>
          <c:dPt>
            <c:idx val="8"/>
            <c:invertIfNegative val="0"/>
            <c:bubble3D val="0"/>
            <c:spPr>
              <a:solidFill>
                <a:schemeClr val="accent3">
                  <a:lumMod val="60000"/>
                </a:schemeClr>
              </a:solidFill>
              <a:ln>
                <a:noFill/>
              </a:ln>
              <a:effectLst/>
            </c:spPr>
          </c:dPt>
          <c:dLbls>
            <c:delete val="1"/>
          </c:dLbls>
          <c:cat>
            <c:strRef>
              <c:f>企业排序!$F$2:$F$10</c:f>
              <c:strCache>
                <c:ptCount val="9"/>
                <c:pt idx="0">
                  <c:v>3L Tex</c:v>
                </c:pt>
                <c:pt idx="1">
                  <c:v>YF International</c:v>
                </c:pt>
                <c:pt idx="2">
                  <c:v>Karsu Tekstil</c:v>
                </c:pt>
                <c:pt idx="3">
                  <c:v>Huvis</c:v>
                </c:pt>
                <c:pt idx="4">
                  <c:v>Toray</c:v>
                </c:pt>
                <c:pt idx="5">
                  <c:v>X-FIPER New Material</c:v>
                </c:pt>
                <c:pt idx="6">
                  <c:v>Teijin</c:v>
                </c:pt>
                <c:pt idx="7">
                  <c:v>Yantai Tayho Advanced Materials</c:v>
                </c:pt>
                <c:pt idx="8">
                  <c:v>Dupont</c:v>
                </c:pt>
              </c:strCache>
            </c:strRef>
          </c:cat>
          <c:val>
            <c:numRef>
              <c:f>企业排序!$G$2:$G$10</c:f>
              <c:numCache>
                <c:formatCode>#,##0.00_ </c:formatCode>
                <c:ptCount val="9"/>
                <c:pt idx="0">
                  <c:v>2.61</c:v>
                </c:pt>
                <c:pt idx="1">
                  <c:v>7.7</c:v>
                </c:pt>
                <c:pt idx="2">
                  <c:v>9.52</c:v>
                </c:pt>
                <c:pt idx="3">
                  <c:v>15.38</c:v>
                </c:pt>
                <c:pt idx="4">
                  <c:v>18.86</c:v>
                </c:pt>
                <c:pt idx="5">
                  <c:v>35.18</c:v>
                </c:pt>
                <c:pt idx="6">
                  <c:v>67.66</c:v>
                </c:pt>
                <c:pt idx="7">
                  <c:v>95.47</c:v>
                </c:pt>
                <c:pt idx="8">
                  <c:v>390.17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5"/>
        <c:axId val="1272139183"/>
        <c:axId val="1326546959"/>
      </c:barChart>
      <c:catAx>
        <c:axId val="127213918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326546959"/>
        <c:crosses val="autoZero"/>
        <c:auto val="1"/>
        <c:lblAlgn val="ctr"/>
        <c:lblOffset val="100"/>
        <c:noMultiLvlLbl val="0"/>
      </c:catAx>
      <c:valAx>
        <c:axId val="1326546959"/>
        <c:scaling>
          <c:orientation val="minMax"/>
        </c:scaling>
        <c:delete val="0"/>
        <c:axPos val="b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#,##0.00_ 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Book Antiqua" panose="02040602050305030304" pitchFamily="1" charset="0"/>
                <a:ea typeface="+mn-ea"/>
                <a:cs typeface="+mn-cs"/>
              </a:defRPr>
            </a:pPr>
          </a:p>
        </c:txPr>
        <c:crossAx val="127213918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6"/>
    <customShpInfo spid="_x0000_s2055"/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B06A4D-AEF5-4F7F-B711-D4CAB3BB310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577</Words>
  <Characters>3294</Characters>
  <Lines>27</Lines>
  <Paragraphs>7</Paragraphs>
  <TotalTime>0</TotalTime>
  <ScaleCrop>false</ScaleCrop>
  <LinksUpToDate>false</LinksUpToDate>
  <CharactersWithSpaces>3864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QYResearch创始人</cp:lastModifiedBy>
  <dcterms:modified xsi:type="dcterms:W3CDTF">2023-12-14T06:35:54Z</dcterms:modified>
  <cp:revision>805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DD905548145D4CFCBA93B44C613E6D45_13</vt:lpwstr>
  </property>
</Properties>
</file>